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60"/>
      </w:pPr>
      <w:r>
        <w:rPr>
          <w:rFonts w:ascii="Arial" w:cs="Arial" w:eastAsia="Arial" w:hAnsi="Arial"/>
          <w:b/>
          <w:bCs/>
          <w:color w:val="E30613"/>
          <w:spacing w:val="30"/>
          <w:sz w:val="16"/>
          <w:szCs w:val="16"/>
        </w:rPr>
        <w:t xml:space="preserve">DOSSIER PÉDAGOGIQUE — CAS GFI « CAP MARCHÉ 2027 »</w:t>
      </w:r>
    </w:p>
    <w:p>
      <w:pPr>
        <w:spacing w:after="80"/>
      </w:pPr>
      <w:r>
        <w:rPr>
          <w:rFonts w:ascii="Arial" w:cs="Arial" w:eastAsia="Arial" w:hAnsi="Arial"/>
          <w:b/>
          <w:bCs/>
          <w:color w:val="2E6071"/>
          <w:sz w:val="40"/>
          <w:szCs w:val="40"/>
        </w:rPr>
        <w:t xml:space="preserve">Communauté d'agglomération Val d'Aurine</w:t>
      </w:r>
    </w:p>
    <w:p>
      <w:pPr>
        <w:spacing w:after="600"/>
      </w:pPr>
      <w:r>
        <w:rPr>
          <w:rFonts w:ascii="Arial" w:cs="Arial" w:eastAsia="Arial" w:hAnsi="Arial"/>
          <w:color w:val="6D7175"/>
          <w:sz w:val="22"/>
          <w:szCs w:val="22"/>
        </w:rPr>
        <w:t xml:space="preserve">Collectivité fictive — Direction de l'éducation et de la restauration</w:t>
      </w:r>
    </w:p>
    <w:p>
      <w:pPr>
        <w:spacing w:after="120"/>
      </w:pPr>
      <w:r>
        <w:rPr>
          <w:rFonts w:ascii="Arial" w:cs="Arial" w:eastAsia="Arial" w:hAnsi="Arial"/>
          <w:b/>
          <w:bCs/>
          <w:color w:val="171A1C"/>
          <w:sz w:val="32"/>
          <w:szCs w:val="32"/>
        </w:rPr>
        <w:t xml:space="preserve">DOSSIER DE CONSULTATION DES ENTREPRISES</w:t>
      </w:r>
    </w:p>
    <w:p>
      <w:pPr>
        <w:spacing w:after="400"/>
      </w:pPr>
      <w:r>
        <w:rPr>
          <w:rFonts w:ascii="Arial" w:cs="Arial" w:eastAsia="Arial" w:hAnsi="Arial"/>
          <w:color w:val="25282B"/>
          <w:sz w:val="24"/>
          <w:szCs w:val="24"/>
        </w:rPr>
        <w:t xml:space="preserve">Extraits pédagogiques : règlement de consultation, CCTP et annexes</w:t>
      </w:r>
    </w:p>
    <w:p>
      <w:pPr>
        <w:spacing w:after="120" w:before="0" w:line="276"/>
        <w:jc w:val="left"/>
      </w:pPr>
      <w:r>
        <w:rPr>
          <w:rFonts w:ascii="Arial" w:cs="Arial" w:eastAsia="Arial" w:hAnsi="Arial"/>
          <w:b/>
          <w:bCs/>
          <w:color w:val="171A1C"/>
          <w:sz w:val="21"/>
          <w:szCs w:val="21"/>
        </w:rPr>
        <w:t xml:space="preserve">Objet : </w:t>
      </w:r>
      <w:r>
        <w:rPr>
          <w:rFonts w:ascii="Arial" w:cs="Arial" w:eastAsia="Arial" w:hAnsi="Arial"/>
          <w:color w:val="171A1C"/>
          <w:sz w:val="21"/>
          <w:szCs w:val="21"/>
        </w:rPr>
        <w:t xml:space="preserve">fourniture et service des repas de six groupes scolaires et de deux accueils de loisirs (lot unique).</w:t>
      </w:r>
    </w:p>
    <w:p>
      <w:pPr>
        <w:spacing w:after="120" w:before="0" w:line="276"/>
        <w:jc w:val="left"/>
      </w:pPr>
      <w:r>
        <w:rPr>
          <w:rFonts w:ascii="Arial" w:cs="Arial" w:eastAsia="Arial" w:hAnsi="Arial"/>
          <w:b/>
          <w:bCs/>
          <w:color w:val="171A1C"/>
          <w:sz w:val="21"/>
          <w:szCs w:val="21"/>
        </w:rPr>
        <w:t xml:space="preserve">Consultation n° </w:t>
      </w:r>
      <w:r>
        <w:rPr>
          <w:rFonts w:ascii="Arial" w:cs="Arial" w:eastAsia="Arial" w:hAnsi="Arial"/>
          <w:color w:val="171A1C"/>
          <w:sz w:val="21"/>
          <w:szCs w:val="21"/>
        </w:rPr>
        <w:t xml:space="preserve">2026-RS-014</w:t>
      </w:r>
    </w:p>
    <w:p>
      <w:pPr>
        <w:spacing w:after="120" w:before="0" w:line="276"/>
        <w:jc w:val="left"/>
      </w:pPr>
      <w:r>
        <w:rPr>
          <w:rFonts w:ascii="Arial" w:cs="Arial" w:eastAsia="Arial" w:hAnsi="Arial"/>
          <w:b/>
          <w:bCs/>
          <w:color w:val="171A1C"/>
          <w:sz w:val="21"/>
          <w:szCs w:val="21"/>
        </w:rPr>
        <w:t xml:space="preserve">Procédure : </w:t>
      </w:r>
      <w:r>
        <w:rPr>
          <w:rFonts w:ascii="Arial" w:cs="Arial" w:eastAsia="Arial" w:hAnsi="Arial"/>
          <w:color w:val="171A1C"/>
          <w:sz w:val="21"/>
          <w:szCs w:val="21"/>
        </w:rPr>
        <w:t xml:space="preserve">appel d'offres ouvert (procédure pédagogique)</w:t>
      </w:r>
    </w:p>
    <w:p>
      <w:pPr>
        <w:spacing w:after="600" w:before="0" w:line="276"/>
        <w:jc w:val="left"/>
      </w:pPr>
      <w:r>
        <w:rPr>
          <w:rFonts w:ascii="Arial" w:cs="Arial" w:eastAsia="Arial" w:hAnsi="Arial"/>
          <w:b/>
          <w:bCs/>
          <w:color w:val="171A1C"/>
          <w:sz w:val="21"/>
          <w:szCs w:val="21"/>
        </w:rPr>
        <w:t xml:space="preserve">Date limite de remise des offres : </w:t>
      </w:r>
      <w:r>
        <w:rPr>
          <w:rFonts w:ascii="Arial" w:cs="Arial" w:eastAsia="Arial" w:hAnsi="Arial"/>
          <w:b/>
          <w:bCs/>
          <w:color w:val="E30613"/>
          <w:sz w:val="21"/>
          <w:szCs w:val="21"/>
        </w:rPr>
        <w:t xml:space="preserve">vendredi 8 janvier 2027 à 12 h 00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E30613" w:sz="6"/>
              <w:left w:val="single" w:color="E30613" w:sz="24"/>
              <w:bottom w:val="single" w:color="E30613" w:sz="6"/>
              <w:right w:val="single" w:color="E30613" w:sz="6"/>
            </w:tcBorders>
            <w:shd w:fill="FFF4CE" w:color="auto" w:val="clear"/>
            <w:tcMar>
              <w:top w:type="dxa" w:w="120"/>
              <w:left w:type="dxa" w:w="180"/>
              <w:bottom w:type="dxa" w:w="120"/>
              <w:right w:type="dxa" w:w="180"/>
            </w:tcMar>
          </w:tcPr>
          <w:p>
            <w:pPr>
              <w:spacing w:after="60"/>
            </w:pPr>
            <w:r>
              <w:rPr>
                <w:rFonts w:ascii="Arial" w:cs="Arial" w:eastAsia="Arial" w:hAnsi="Arial"/>
                <w:b/>
                <w:bCs/>
                <w:color w:val="E30613"/>
                <w:sz w:val="20"/>
                <w:szCs w:val="20"/>
              </w:rPr>
              <w:t xml:space="preserve">Avertissement</w:t>
            </w:r>
          </w:p>
          <w:p>
            <w:pPr>
              <w:spacing w:after="60" w:line="264"/>
              <w:jc w:val="both"/>
            </w:pPr>
            <w:r>
              <w:rPr>
                <w:rFonts w:ascii="Arial" w:cs="Arial" w:eastAsia="Arial" w:hAnsi="Arial"/>
                <w:color w:val="171A1C"/>
                <w:sz w:val="19"/>
                <w:szCs w:val="19"/>
              </w:rPr>
              <w:t xml:space="preserve">Ce dossier est un support d'enseignement conçu pour le M1 MIRC (ISTHIA, Université Toulouse – Jean Jaurès). La collectivité, les sites, les volumes et les clauses sont fictifs. Le document reproduit la logique d'un règlement de consultation et d'un cahier des clauses techniques particulières, mais il ne constitue pas un document juridique et ne saurait être utilisé comme modèle contractuel.</w:t>
            </w:r>
          </w:p>
          <w:p>
            <w:pPr>
              <w:spacing w:after="60" w:line="264"/>
              <w:jc w:val="both"/>
            </w:pPr>
            <w:r>
              <w:rPr>
                <w:rFonts w:ascii="Arial" w:cs="Arial" w:eastAsia="Arial" w:hAnsi="Arial"/>
                <w:color w:val="171A1C"/>
                <w:sz w:val="19"/>
                <w:szCs w:val="19"/>
              </w:rPr>
              <w:t xml:space="preserve">Certaines incohérences, ambiguïtés ou informations manquantes sont volontaires : elles constituent des cas de test pour l'Agent 1 (lecture BtoA). Un agent utile les signale et pose des questions ; il ne tranche pas et ne « valide » jamais une conformité.</w:t>
            </w:r>
          </w:p>
        </w:tc>
      </w:tr>
    </w:tbl>
    <w:p>
      <w:pPr>
        <w:spacing w:after="400"/>
      </w:pPr>
    </w:p>
    <w:p>
      <w:pPr>
        <w:spacing w:after="120" w:before="0" w:line="276"/>
        <w:jc w:val="left"/>
      </w:pPr>
      <w:r>
        <w:rPr>
          <w:rFonts w:ascii="Arial" w:cs="Arial" w:eastAsia="Arial" w:hAnsi="Arial"/>
          <w:color w:val="6D7175"/>
          <w:sz w:val="18"/>
          <w:szCs w:val="18"/>
        </w:rPr>
        <w:t xml:space="preserve">Version pédagogique v2 — octobre 2026 — ISTHIA / Denis Bories</w:t>
      </w:r>
    </w:p>
    <w:p>
      <w:pPr>
        <w:sectPr>
          <w:headerReference w:type="default" r:id="rId7"/>
          <w:footerReference w:type="default" r:id="rId8"/>
          <w:pgSz w:w="11906" w:h="16838" w:orient="portrait"/>
          <w:pgMar w:top="1134" w:right="1134" w:bottom="1134" w:left="1134" w:header="708" w:footer="708" w:gutter="0"/>
          <w:pgNumType/>
          <w:docGrid w:linePitch="360"/>
        </w:sectPr>
      </w:pPr>
    </w:p>
    <w:p>
      <w:pPr>
        <w:pStyle w:val="Heading1"/>
        <w:keepNext/>
        <w:spacing w:after="160" w:before="360"/>
      </w:pPr>
      <w:r>
        <w:rPr>
          <w:rFonts w:ascii="Arial" w:cs="Arial" w:eastAsia="Arial" w:hAnsi="Arial"/>
          <w:b/>
          <w:bCs/>
          <w:color w:val="2E6071"/>
          <w:sz w:val="30"/>
          <w:szCs w:val="30"/>
        </w:rPr>
        <w:t xml:space="preserve">Sommaire</w:t>
      </w:r>
    </w:p>
    <w:p>
      <w:pPr>
        <w:spacing w:after="40" w:before="0" w:line="276"/>
        <w:jc w:val="left"/>
      </w:pPr>
      <w:r>
        <w:rPr>
          <w:rFonts w:ascii="Arial" w:cs="Arial" w:eastAsia="Arial" w:hAnsi="Arial"/>
          <w:color w:val="171A1C"/>
          <w:sz w:val="21"/>
          <w:szCs w:val="21"/>
        </w:rPr>
        <w:t xml:space="preserve">Partie A — Règlement de la consultation (RC)</w:t>
      </w:r>
    </w:p>
    <w:p>
      <w:pPr>
        <w:spacing w:after="40" w:before="0" w:line="276"/>
        <w:jc w:val="left"/>
      </w:pPr>
      <w:r>
        <w:rPr>
          <w:rFonts w:ascii="Arial" w:cs="Arial" w:eastAsia="Arial" w:hAnsi="Arial"/>
          <w:color w:val="171A1C"/>
          <w:sz w:val="21"/>
          <w:szCs w:val="21"/>
        </w:rPr>
        <w:t xml:space="preserve">Partie B — Cahier des clauses techniques particulières (CCTP) — extraits</w:t>
      </w:r>
    </w:p>
    <w:p>
      <w:pPr>
        <w:spacing w:after="40" w:before="0" w:line="276"/>
        <w:jc w:val="left"/>
      </w:pPr>
      <w:r>
        <w:rPr>
          <w:rFonts w:ascii="Arial" w:cs="Arial" w:eastAsia="Arial" w:hAnsi="Arial"/>
          <w:color w:val="171A1C"/>
          <w:sz w:val="21"/>
          <w:szCs w:val="21"/>
        </w:rPr>
        <w:t xml:space="preserve">Annexe 1 — Liste des sites et volumes</w:t>
      </w:r>
    </w:p>
    <w:p>
      <w:pPr>
        <w:spacing w:after="40" w:before="0" w:line="276"/>
        <w:jc w:val="left"/>
      </w:pPr>
      <w:r>
        <w:rPr>
          <w:rFonts w:ascii="Arial" w:cs="Arial" w:eastAsia="Arial" w:hAnsi="Arial"/>
          <w:color w:val="171A1C"/>
          <w:sz w:val="21"/>
          <w:szCs w:val="21"/>
        </w:rPr>
        <w:t xml:space="preserve">Annexe 2 — Calendrier de la consultation</w:t>
      </w:r>
    </w:p>
    <w:p>
      <w:pPr>
        <w:spacing w:after="40" w:before="0" w:line="276"/>
        <w:jc w:val="left"/>
      </w:pPr>
      <w:r>
        <w:rPr>
          <w:rFonts w:ascii="Arial" w:cs="Arial" w:eastAsia="Arial" w:hAnsi="Arial"/>
          <w:color w:val="171A1C"/>
          <w:sz w:val="21"/>
          <w:szCs w:val="21"/>
        </w:rPr>
        <w:t xml:space="preserve">Annexe 3 — Cadre de réponse du mémoire technique</w:t>
      </w:r>
    </w:p>
    <w:p>
      <w:pPr>
        <w:spacing w:after="40" w:before="0" w:line="276"/>
        <w:jc w:val="left"/>
      </w:pPr>
      <w:r>
        <w:rPr>
          <w:rFonts w:ascii="Arial" w:cs="Arial" w:eastAsia="Arial" w:hAnsi="Arial"/>
          <w:color w:val="171A1C"/>
          <w:sz w:val="21"/>
          <w:szCs w:val="21"/>
        </w:rPr>
        <w:t xml:space="preserve">Annexe 4 — Modèle de tableau de bord mensuel</w:t>
      </w:r>
    </w:p>
    <w:p>
      <w:pPr>
        <w:spacing w:after="40" w:before="0" w:line="276"/>
        <w:jc w:val="left"/>
      </w:pPr>
      <w:r>
        <w:rPr>
          <w:rFonts w:ascii="Arial" w:cs="Arial" w:eastAsia="Arial" w:hAnsi="Arial"/>
          <w:color w:val="171A1C"/>
          <w:sz w:val="21"/>
          <w:szCs w:val="21"/>
        </w:rPr>
        <w:t xml:space="preserve">Annexe 5 — Rappel simplifié des fréquences nutritionnelles (arrêté du 30 septembre 2011)</w:t>
      </w:r>
    </w:p>
    <w:p>
      <w:pPr>
        <w:spacing w:after="120" w:before="200" w:line="276"/>
        <w:jc w:val="both"/>
      </w:pPr>
      <w:r>
        <w:rPr>
          <w:rFonts w:ascii="Arial" w:cs="Arial" w:eastAsia="Arial" w:hAnsi="Arial"/>
          <w:i/>
          <w:iCs/>
          <w:color w:val="6D7175"/>
          <w:sz w:val="19"/>
          <w:szCs w:val="19"/>
        </w:rPr>
        <w:t xml:space="preserve">Les données de l'entreprise candidate (GFI) — capacités, preuves documentaires, achats, menu proposé — figurent dans le classeur « M1_MIRC_Donnees_GFI_Agents_IA.xlsx » (onglets AO_VdA_RC, AO_VdA_CCTP, AO_VdA_Menu_propose, Capacites_GFI, Preuves_Documentaires, Fournisseurs_Achats).</w:t>
      </w:r>
    </w:p>
    <w:p>
      <w:pPr>
        <w:pStyle w:val="Heading1"/>
        <w:keepNext/>
        <w:spacing w:after="160" w:before="360"/>
      </w:pPr>
      <w:r>
        <w:rPr>
          <w:rFonts w:ascii="Arial" w:cs="Arial" w:eastAsia="Arial" w:hAnsi="Arial"/>
          <w:b/>
          <w:bCs/>
          <w:color w:val="2E6071"/>
          <w:sz w:val="30"/>
          <w:szCs w:val="30"/>
        </w:rPr>
        <w:t xml:space="preserve">Partie A — Règlement de la consultation</w:t>
      </w:r>
    </w:p>
    <w:p>
      <w:pPr>
        <w:pStyle w:val="Heading2"/>
        <w:keepNext/>
        <w:spacing w:after="120" w:before="240"/>
      </w:pPr>
      <w:r>
        <w:rPr>
          <w:rFonts w:ascii="Arial" w:cs="Arial" w:eastAsia="Arial" w:hAnsi="Arial"/>
          <w:b/>
          <w:bCs/>
          <w:color w:val="25282B"/>
          <w:sz w:val="24"/>
          <w:szCs w:val="24"/>
        </w:rPr>
        <w:t xml:space="preserve">Article 1 — Identification de l'acheteur et objet</w:t>
      </w:r>
    </w:p>
    <w:p>
      <w:pPr>
        <w:spacing w:after="120" w:before="0" w:line="276"/>
        <w:jc w:val="both"/>
      </w:pPr>
      <w:r>
        <w:rPr>
          <w:rFonts w:ascii="Arial" w:cs="Arial" w:eastAsia="Arial" w:hAnsi="Arial"/>
          <w:b/>
          <w:bCs/>
          <w:color w:val="171A1C"/>
          <w:sz w:val="21"/>
          <w:szCs w:val="21"/>
        </w:rPr>
        <w:t xml:space="preserve">RC-A01 — Acheteur. </w:t>
      </w:r>
      <w:r>
        <w:rPr>
          <w:rFonts w:ascii="Arial" w:cs="Arial" w:eastAsia="Arial" w:hAnsi="Arial"/>
          <w:color w:val="171A1C"/>
          <w:sz w:val="21"/>
          <w:szCs w:val="21"/>
        </w:rPr>
        <w:t xml:space="preserve">Communauté d'agglomération Val d'Aurine (collectivité fictive) — Direction de l'éducation et de la restauration.</w:t>
      </w:r>
    </w:p>
    <w:p>
      <w:pPr>
        <w:spacing w:after="120" w:before="0" w:line="276"/>
        <w:jc w:val="both"/>
      </w:pPr>
      <w:r>
        <w:rPr>
          <w:rFonts w:ascii="Arial" w:cs="Arial" w:eastAsia="Arial" w:hAnsi="Arial"/>
          <w:b/>
          <w:bCs/>
          <w:color w:val="171A1C"/>
          <w:sz w:val="21"/>
          <w:szCs w:val="21"/>
        </w:rPr>
        <w:t xml:space="preserve">RC-A02 — Objet. </w:t>
      </w:r>
      <w:r>
        <w:rPr>
          <w:rFonts w:ascii="Arial" w:cs="Arial" w:eastAsia="Arial" w:hAnsi="Arial"/>
          <w:color w:val="171A1C"/>
          <w:sz w:val="21"/>
          <w:szCs w:val="21"/>
        </w:rPr>
        <w:t xml:space="preserve">Fourniture et service des repas de six groupes scolaires (maternelles et élémentaires) et de deux accueils de loisirs, en liaison chaude ou froide au choix du candidat.</w:t>
      </w:r>
    </w:p>
    <w:p>
      <w:pPr>
        <w:spacing w:after="120" w:before="0" w:line="276"/>
        <w:jc w:val="both"/>
      </w:pPr>
      <w:r>
        <w:rPr>
          <w:rFonts w:ascii="Arial" w:cs="Arial" w:eastAsia="Arial" w:hAnsi="Arial"/>
          <w:b/>
          <w:bCs/>
          <w:color w:val="171A1C"/>
          <w:sz w:val="21"/>
          <w:szCs w:val="21"/>
        </w:rPr>
        <w:t xml:space="preserve">RC-A03 — Procédure. </w:t>
      </w:r>
      <w:r>
        <w:rPr>
          <w:rFonts w:ascii="Arial" w:cs="Arial" w:eastAsia="Arial" w:hAnsi="Arial"/>
          <w:color w:val="171A1C"/>
          <w:sz w:val="21"/>
          <w:szCs w:val="21"/>
        </w:rPr>
        <w:t xml:space="preserve">Appel d'offres ouvert (procédure pédagogique inspirée du Code de la commande publique — sans valeur juridique).</w:t>
      </w:r>
    </w:p>
    <w:p>
      <w:pPr>
        <w:pStyle w:val="Heading2"/>
        <w:keepNext/>
        <w:spacing w:after="120" w:before="240"/>
      </w:pPr>
      <w:r>
        <w:rPr>
          <w:rFonts w:ascii="Arial" w:cs="Arial" w:eastAsia="Arial" w:hAnsi="Arial"/>
          <w:b/>
          <w:bCs/>
          <w:color w:val="25282B"/>
          <w:sz w:val="24"/>
          <w:szCs w:val="24"/>
        </w:rPr>
        <w:t xml:space="preserve">Article 2 — Volumes, durée et allotissement</w:t>
      </w:r>
    </w:p>
    <w:p>
      <w:pPr>
        <w:spacing w:after="120" w:before="0" w:line="276"/>
        <w:jc w:val="both"/>
      </w:pPr>
      <w:r>
        <w:rPr>
          <w:rFonts w:ascii="Arial" w:cs="Arial" w:eastAsia="Arial" w:hAnsi="Arial"/>
          <w:b/>
          <w:bCs/>
          <w:color w:val="171A1C"/>
          <w:sz w:val="21"/>
          <w:szCs w:val="21"/>
        </w:rPr>
        <w:t xml:space="preserve">RC-A04 — Volume estimé. </w:t>
      </w:r>
      <w:r>
        <w:rPr>
          <w:rFonts w:ascii="Arial" w:cs="Arial" w:eastAsia="Arial" w:hAnsi="Arial"/>
          <w:color w:val="171A1C"/>
          <w:sz w:val="21"/>
          <w:szCs w:val="21"/>
        </w:rPr>
        <w:t xml:space="preserve">Environ 2 450 déjeuners par jour scolaire (4 jours par semaine) et 380 déjeuners les mercredis et vacances (accueils de loisirs) ; soit environ 390 000 repas par an.</w:t>
      </w:r>
    </w:p>
    <w:p>
      <w:pPr>
        <w:spacing w:after="120" w:before="0" w:line="276"/>
        <w:jc w:val="both"/>
      </w:pPr>
      <w:r>
        <w:rPr>
          <w:rFonts w:ascii="Arial" w:cs="Arial" w:eastAsia="Arial" w:hAnsi="Arial"/>
          <w:b/>
          <w:bCs/>
          <w:color w:val="171A1C"/>
          <w:sz w:val="21"/>
          <w:szCs w:val="21"/>
        </w:rPr>
        <w:t xml:space="preserve">RC-A05 — Durée. </w:t>
      </w:r>
      <w:r>
        <w:rPr>
          <w:rFonts w:ascii="Arial" w:cs="Arial" w:eastAsia="Arial" w:hAnsi="Arial"/>
          <w:color w:val="171A1C"/>
          <w:sz w:val="21"/>
          <w:szCs w:val="21"/>
        </w:rPr>
        <w:t xml:space="preserve">36 mois à compter du 1er septembre 2027, reconductible une fois 12 mois.</w:t>
      </w:r>
    </w:p>
    <w:p>
      <w:pPr>
        <w:spacing w:after="120" w:before="0" w:line="276"/>
        <w:jc w:val="both"/>
      </w:pPr>
      <w:r>
        <w:rPr>
          <w:rFonts w:ascii="Arial" w:cs="Arial" w:eastAsia="Arial" w:hAnsi="Arial"/>
          <w:b/>
          <w:bCs/>
          <w:color w:val="171A1C"/>
          <w:sz w:val="21"/>
          <w:szCs w:val="21"/>
        </w:rPr>
        <w:t xml:space="preserve">RC-A06 — Allotissement. </w:t>
      </w:r>
      <w:r>
        <w:rPr>
          <w:rFonts w:ascii="Arial" w:cs="Arial" w:eastAsia="Arial" w:hAnsi="Arial"/>
          <w:color w:val="171A1C"/>
          <w:sz w:val="21"/>
          <w:szCs w:val="21"/>
        </w:rPr>
        <w:t xml:space="preserve">Lot unique. Les variantes ne sont pas autorisées.</w:t>
      </w:r>
    </w:p>
    <w:p>
      <w:pPr>
        <w:pStyle w:val="Heading2"/>
        <w:keepNext/>
        <w:spacing w:after="120" w:before="240"/>
      </w:pPr>
      <w:r>
        <w:rPr>
          <w:rFonts w:ascii="Arial" w:cs="Arial" w:eastAsia="Arial" w:hAnsi="Arial"/>
          <w:b/>
          <w:bCs/>
          <w:color w:val="25282B"/>
          <w:sz w:val="24"/>
          <w:szCs w:val="24"/>
        </w:rPr>
        <w:t xml:space="preserve">Article 3 — Calendrier et modalités</w:t>
      </w:r>
    </w:p>
    <w:p>
      <w:pPr>
        <w:spacing w:after="120" w:before="0" w:line="276"/>
        <w:jc w:val="both"/>
      </w:pPr>
      <w:r>
        <w:rPr>
          <w:rFonts w:ascii="Arial" w:cs="Arial" w:eastAsia="Arial" w:hAnsi="Arial"/>
          <w:b/>
          <w:bCs/>
          <w:color w:val="171A1C"/>
          <w:sz w:val="21"/>
          <w:szCs w:val="21"/>
        </w:rPr>
        <w:t xml:space="preserve">RC-A07 — Date limite de remise des offres. </w:t>
      </w:r>
      <w:r>
        <w:rPr>
          <w:rFonts w:ascii="Arial" w:cs="Arial" w:eastAsia="Arial" w:hAnsi="Arial"/>
          <w:color w:val="171A1C"/>
          <w:sz w:val="21"/>
          <w:szCs w:val="21"/>
        </w:rPr>
        <w:t xml:space="preserve">Vendredi 8 janvier 2027 à 12 h 00, dépôt dématérialisé sur le profil d'acheteur.</w:t>
      </w:r>
    </w:p>
    <w:p>
      <w:pPr>
        <w:spacing w:after="120" w:before="0" w:line="276"/>
        <w:jc w:val="both"/>
      </w:pPr>
      <w:r>
        <w:rPr>
          <w:rFonts w:ascii="Arial" w:cs="Arial" w:eastAsia="Arial" w:hAnsi="Arial"/>
          <w:b/>
          <w:bCs/>
          <w:color w:val="171A1C"/>
          <w:sz w:val="21"/>
          <w:szCs w:val="21"/>
        </w:rPr>
        <w:t xml:space="preserve">RC-A08 — Questions des candidats. </w:t>
      </w:r>
      <w:r>
        <w:rPr>
          <w:rFonts w:ascii="Arial" w:cs="Arial" w:eastAsia="Arial" w:hAnsi="Arial"/>
          <w:color w:val="171A1C"/>
          <w:sz w:val="21"/>
          <w:szCs w:val="21"/>
        </w:rPr>
        <w:t xml:space="preserve">Jusqu'au vendredi 18 décembre 2026, exclusivement via le profil d'acheteur ; réponses communiquées à tous les candidats.</w:t>
      </w:r>
    </w:p>
    <w:p>
      <w:pPr>
        <w:spacing w:after="120" w:before="0" w:line="276"/>
        <w:jc w:val="both"/>
      </w:pPr>
      <w:r>
        <w:rPr>
          <w:rFonts w:ascii="Arial" w:cs="Arial" w:eastAsia="Arial" w:hAnsi="Arial"/>
          <w:b/>
          <w:bCs/>
          <w:color w:val="171A1C"/>
          <w:sz w:val="21"/>
          <w:szCs w:val="21"/>
        </w:rPr>
        <w:t xml:space="preserve">RC-A09 — Visite de site. </w:t>
      </w:r>
      <w:r>
        <w:rPr>
          <w:rFonts w:ascii="Arial" w:cs="Arial" w:eastAsia="Arial" w:hAnsi="Arial"/>
          <w:color w:val="171A1C"/>
          <w:sz w:val="21"/>
          <w:szCs w:val="21"/>
        </w:rPr>
        <w:t xml:space="preserve">Recommandée (non obligatoire) : mardi 24 novembre 2026 et mardi 1er décembre 2026, sur inscription.</w:t>
      </w:r>
    </w:p>
    <w:p>
      <w:pPr>
        <w:spacing w:after="120" w:before="0" w:line="276"/>
        <w:jc w:val="both"/>
      </w:pPr>
      <w:r>
        <w:rPr>
          <w:rFonts w:ascii="Arial" w:cs="Arial" w:eastAsia="Arial" w:hAnsi="Arial"/>
          <w:b/>
          <w:bCs/>
          <w:color w:val="171A1C"/>
          <w:sz w:val="21"/>
          <w:szCs w:val="21"/>
        </w:rPr>
        <w:t xml:space="preserve">RC-A17 — Négociation. </w:t>
      </w:r>
      <w:r>
        <w:rPr>
          <w:rFonts w:ascii="Arial" w:cs="Arial" w:eastAsia="Arial" w:hAnsi="Arial"/>
          <w:color w:val="171A1C"/>
          <w:sz w:val="21"/>
          <w:szCs w:val="21"/>
        </w:rPr>
        <w:t xml:space="preserve">Sans négociation.</w:t>
      </w:r>
    </w:p>
    <w:p>
      <w:pPr>
        <w:spacing w:after="120" w:before="0" w:line="276"/>
        <w:jc w:val="both"/>
      </w:pPr>
      <w:r>
        <w:rPr>
          <w:rFonts w:ascii="Arial" w:cs="Arial" w:eastAsia="Arial" w:hAnsi="Arial"/>
          <w:b/>
          <w:bCs/>
          <w:color w:val="171A1C"/>
          <w:sz w:val="21"/>
          <w:szCs w:val="21"/>
        </w:rPr>
        <w:t xml:space="preserve">RC-A18 — Délai de validité des offres. </w:t>
      </w:r>
      <w:r>
        <w:rPr>
          <w:rFonts w:ascii="Arial" w:cs="Arial" w:eastAsia="Arial" w:hAnsi="Arial"/>
          <w:color w:val="171A1C"/>
          <w:sz w:val="21"/>
          <w:szCs w:val="21"/>
        </w:rPr>
        <w:t xml:space="preserve">120 jours à compter de la date limite de remise des offres.</w:t>
      </w:r>
    </w:p>
    <w:p>
      <w:pPr>
        <w:spacing w:after="120" w:before="0" w:line="276"/>
        <w:jc w:val="both"/>
      </w:pPr>
      <w:r>
        <w:rPr>
          <w:rFonts w:ascii="Arial" w:cs="Arial" w:eastAsia="Arial" w:hAnsi="Arial"/>
          <w:b/>
          <w:bCs/>
          <w:color w:val="171A1C"/>
          <w:sz w:val="21"/>
          <w:szCs w:val="21"/>
        </w:rPr>
        <w:t xml:space="preserve">RC-A19 — Langue et monnaie. </w:t>
      </w:r>
      <w:r>
        <w:rPr>
          <w:rFonts w:ascii="Arial" w:cs="Arial" w:eastAsia="Arial" w:hAnsi="Arial"/>
          <w:color w:val="171A1C"/>
          <w:sz w:val="21"/>
          <w:szCs w:val="21"/>
        </w:rPr>
        <w:t xml:space="preserve">Français ; euros.</w:t>
      </w:r>
    </w:p>
    <w:p>
      <w:pPr>
        <w:pStyle w:val="Heading2"/>
        <w:keepNext/>
        <w:spacing w:after="120" w:before="240"/>
      </w:pPr>
      <w:r>
        <w:rPr>
          <w:rFonts w:ascii="Arial" w:cs="Arial" w:eastAsia="Arial" w:hAnsi="Arial"/>
          <w:b/>
          <w:bCs/>
          <w:color w:val="25282B"/>
          <w:sz w:val="24"/>
          <w:szCs w:val="24"/>
        </w:rPr>
        <w:t xml:space="preserve">Article 4 — Contenu des candidatures et des offres</w:t>
      </w:r>
    </w:p>
    <w:p>
      <w:pPr>
        <w:spacing w:after="120" w:before="0" w:line="276"/>
        <w:jc w:val="both"/>
      </w:pPr>
      <w:r>
        <w:rPr>
          <w:rFonts w:ascii="Arial" w:cs="Arial" w:eastAsia="Arial" w:hAnsi="Arial"/>
          <w:b/>
          <w:bCs/>
          <w:color w:val="171A1C"/>
          <w:sz w:val="21"/>
          <w:szCs w:val="21"/>
        </w:rPr>
        <w:t xml:space="preserve">RC-A10 — Pièces de la candidature. </w:t>
      </w:r>
      <w:r>
        <w:rPr>
          <w:rFonts w:ascii="Arial" w:cs="Arial" w:eastAsia="Arial" w:hAnsi="Arial"/>
          <w:color w:val="171A1C"/>
          <w:sz w:val="21"/>
          <w:szCs w:val="21"/>
        </w:rPr>
        <w:t xml:space="preserve">DC1, DC2, attestations fiscales et sociales, assurance RC, liste des références de moins de trois ans, moyens humains et matériels.</w:t>
      </w:r>
    </w:p>
    <w:p>
      <w:pPr>
        <w:spacing w:after="120" w:before="0" w:line="276"/>
        <w:jc w:val="both"/>
      </w:pPr>
      <w:r>
        <w:rPr>
          <w:rFonts w:ascii="Arial" w:cs="Arial" w:eastAsia="Arial" w:hAnsi="Arial"/>
          <w:b/>
          <w:bCs/>
          <w:color w:val="171A1C"/>
          <w:sz w:val="21"/>
          <w:szCs w:val="21"/>
        </w:rPr>
        <w:t xml:space="preserve">RC-A11 — Pièces de l'offre. </w:t>
      </w:r>
      <w:r>
        <w:rPr>
          <w:rFonts w:ascii="Arial" w:cs="Arial" w:eastAsia="Arial" w:hAnsi="Arial"/>
          <w:color w:val="171A1C"/>
          <w:sz w:val="21"/>
          <w:szCs w:val="21"/>
        </w:rPr>
        <w:t xml:space="preserve">Acte d'engagement ; BPU et DQE complétés ; mémoire technique de 40 pages maximum (annexes non comprises) ; cycle de menus proposé sur 8 semaines ; plan de progrès ; attestations et certificats des fournisseurs.</w:t>
      </w:r>
    </w:p>
    <w:p>
      <w:pPr>
        <w:pStyle w:val="Heading2"/>
        <w:keepNext/>
        <w:spacing w:after="120" w:before="240"/>
      </w:pPr>
      <w:r>
        <w:rPr>
          <w:rFonts w:ascii="Arial" w:cs="Arial" w:eastAsia="Arial" w:hAnsi="Arial"/>
          <w:b/>
          <w:bCs/>
          <w:color w:val="25282B"/>
          <w:sz w:val="24"/>
          <w:szCs w:val="24"/>
        </w:rPr>
        <w:t xml:space="preserve">Article 5 — Critères de jugement des offres</w:t>
      </w:r>
    </w:p>
    <w:p>
      <w:pPr>
        <w:spacing w:after="120" w:before="0" w:line="276"/>
        <w:jc w:val="both"/>
      </w:pPr>
      <w:r>
        <w:rPr>
          <w:rFonts w:ascii="Arial" w:cs="Arial" w:eastAsia="Arial" w:hAnsi="Arial"/>
          <w:color w:val="171A1C"/>
          <w:sz w:val="21"/>
          <w:szCs w:val="21"/>
        </w:rPr>
        <w:t xml:space="preserve">Les offres sont jugées selon les critères pondérés suivants. Chaque sous-critère est noté de 0 à 5 puis pondéré (RC-A16). Une note inférieure à 2/5 sur le sous-critère « organisation et continuité de service » entraîne le rejet de l'offre.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63"/>
        <w:gridCol w:w="714"/>
        <w:gridCol w:w="2677"/>
        <w:gridCol w:w="714"/>
        <w:gridCol w:w="3570"/>
      </w:tblGrid>
      <w:tr>
        <w:trPr>
          <w:tblHeader/>
        </w:trPr>
        <w:tc>
          <w:tcPr>
            <w:tcW w:type="dxa" w:w="1963"/>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Critère</w:t>
            </w:r>
          </w:p>
        </w:tc>
        <w:tc>
          <w:tcPr>
            <w:tcW w:type="dxa" w:w="714"/>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Poids</w:t>
            </w:r>
          </w:p>
        </w:tc>
        <w:tc>
          <w:tcPr>
            <w:tcW w:type="dxa" w:w="2677"/>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Sous-critères</w:t>
            </w:r>
          </w:p>
        </w:tc>
        <w:tc>
          <w:tcPr>
            <w:tcW w:type="dxa" w:w="714"/>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Poids</w:t>
            </w:r>
          </w:p>
        </w:tc>
        <w:tc>
          <w:tcPr>
            <w:tcW w:type="dxa" w:w="3570"/>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Éléments d'appréciation</w:t>
            </w:r>
          </w:p>
        </w:tc>
      </w:tr>
      <w:tr>
        <w:tc>
          <w:tcPr>
            <w:tcW w:type="dxa" w:w="196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1. Valeur technique</w:t>
            </w:r>
          </w:p>
        </w:tc>
        <w:tc>
          <w:tcPr>
            <w:tcW w:type="dxa" w:w="71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45 %</w:t>
            </w:r>
          </w:p>
        </w:tc>
        <w:tc>
          <w:tcPr>
            <w:tcW w:type="dxa" w:w="267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Organisation et continuité de service</w:t>
            </w:r>
          </w:p>
        </w:tc>
        <w:tc>
          <w:tcPr>
            <w:tcW w:type="dxa" w:w="71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15 %</w:t>
            </w:r>
          </w:p>
        </w:tc>
        <w:tc>
          <w:tcPr>
            <w:tcW w:type="dxa" w:w="357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Mémoire technique, organigramme, plan de continuité et rapport du dernier test</w:t>
            </w:r>
          </w:p>
        </w:tc>
      </w:tr>
      <w:tr>
        <w:tc>
          <w:tcPr>
            <w:tcW w:type="dxa" w:w="196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
            </w:r>
          </w:p>
        </w:tc>
        <w:tc>
          <w:tcPr>
            <w:tcW w:type="dxa" w:w="71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
            </w:r>
          </w:p>
        </w:tc>
        <w:tc>
          <w:tcPr>
            <w:tcW w:type="dxa" w:w="267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Qualité et attractivité des menus</w:t>
            </w:r>
          </w:p>
        </w:tc>
        <w:tc>
          <w:tcPr>
            <w:tcW w:type="dxa" w:w="71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12 %</w:t>
            </w:r>
          </w:p>
        </w:tc>
        <w:tc>
          <w:tcPr>
            <w:tcW w:type="dxa" w:w="357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Cycle de menus 8 semaines, méthode de test convives, grille de fréquences</w:t>
            </w:r>
          </w:p>
        </w:tc>
      </w:tr>
      <w:tr>
        <w:tc>
          <w:tcPr>
            <w:tcW w:type="dxa" w:w="196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
            </w:r>
          </w:p>
        </w:tc>
        <w:tc>
          <w:tcPr>
            <w:tcW w:type="dxa" w:w="71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
            </w:r>
          </w:p>
        </w:tc>
        <w:tc>
          <w:tcPr>
            <w:tcW w:type="dxa" w:w="267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Relation usagers et traitement des réclamations</w:t>
            </w:r>
          </w:p>
        </w:tc>
        <w:tc>
          <w:tcPr>
            <w:tcW w:type="dxa" w:w="71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8 %</w:t>
            </w:r>
          </w:p>
        </w:tc>
        <w:tc>
          <w:tcPr>
            <w:tcW w:type="dxa" w:w="357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Dispositif, délais, exemples de synthèse trimestrielle</w:t>
            </w:r>
          </w:p>
        </w:tc>
      </w:tr>
      <w:tr>
        <w:tc>
          <w:tcPr>
            <w:tcW w:type="dxa" w:w="196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
            </w:r>
          </w:p>
        </w:tc>
        <w:tc>
          <w:tcPr>
            <w:tcW w:type="dxa" w:w="71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
            </w:r>
          </w:p>
        </w:tc>
        <w:tc>
          <w:tcPr>
            <w:tcW w:type="dxa" w:w="267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Pilotage par les données</w:t>
            </w:r>
          </w:p>
        </w:tc>
        <w:tc>
          <w:tcPr>
            <w:tcW w:type="dxa" w:w="71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10 %</w:t>
            </w:r>
          </w:p>
        </w:tc>
        <w:tc>
          <w:tcPr>
            <w:tcW w:type="dxa" w:w="357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Tableau de bord mensuel, dictionnaire des indicateurs, gouvernance</w:t>
            </w:r>
          </w:p>
        </w:tc>
      </w:tr>
      <w:tr>
        <w:tc>
          <w:tcPr>
            <w:tcW w:type="dxa" w:w="196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2. Prix</w:t>
            </w:r>
          </w:p>
        </w:tc>
        <w:tc>
          <w:tcPr>
            <w:tcW w:type="dxa" w:w="71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30 %</w:t>
            </w:r>
          </w:p>
        </w:tc>
        <w:tc>
          <w:tcPr>
            <w:tcW w:type="dxa" w:w="267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Prix unitaire et cohérence économique</w:t>
            </w:r>
          </w:p>
        </w:tc>
        <w:tc>
          <w:tcPr>
            <w:tcW w:type="dxa" w:w="71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30 %</w:t>
            </w:r>
          </w:p>
        </w:tc>
        <w:tc>
          <w:tcPr>
            <w:tcW w:type="dxa" w:w="357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DQE et BPU (non fournis dans le dossier pédagogique)</w:t>
            </w:r>
          </w:p>
        </w:tc>
      </w:tr>
      <w:tr>
        <w:tc>
          <w:tcPr>
            <w:tcW w:type="dxa" w:w="196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3. Transition alimentaire</w:t>
            </w:r>
          </w:p>
        </w:tc>
        <w:tc>
          <w:tcPr>
            <w:tcW w:type="dxa" w:w="71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15 %</w:t>
            </w:r>
          </w:p>
        </w:tc>
        <w:tc>
          <w:tcPr>
            <w:tcW w:type="dxa" w:w="267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Approvisionnements responsables et traçabilité</w:t>
            </w:r>
          </w:p>
        </w:tc>
        <w:tc>
          <w:tcPr>
            <w:tcW w:type="dxa" w:w="71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8 %</w:t>
            </w:r>
          </w:p>
        </w:tc>
        <w:tc>
          <w:tcPr>
            <w:tcW w:type="dxa" w:w="357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Parts de produits durables et bio, certificats, trajectoire</w:t>
            </w:r>
          </w:p>
        </w:tc>
      </w:tr>
      <w:tr>
        <w:tc>
          <w:tcPr>
            <w:tcW w:type="dxa" w:w="196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
            </w:r>
          </w:p>
        </w:tc>
        <w:tc>
          <w:tcPr>
            <w:tcW w:type="dxa" w:w="71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
            </w:r>
          </w:p>
        </w:tc>
        <w:tc>
          <w:tcPr>
            <w:tcW w:type="dxa" w:w="267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Réduction du gaspillage</w:t>
            </w:r>
          </w:p>
        </w:tc>
        <w:tc>
          <w:tcPr>
            <w:tcW w:type="dxa" w:w="71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7 %</w:t>
            </w:r>
          </w:p>
        </w:tc>
        <w:tc>
          <w:tcPr>
            <w:tcW w:type="dxa" w:w="357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Diagnostic, cible chiffrée en g/convive, plan de tests, suivi</w:t>
            </w:r>
          </w:p>
        </w:tc>
      </w:tr>
      <w:tr>
        <w:tc>
          <w:tcPr>
            <w:tcW w:type="dxa" w:w="196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4. Performance contractuelle</w:t>
            </w:r>
          </w:p>
        </w:tc>
        <w:tc>
          <w:tcPr>
            <w:tcW w:type="dxa" w:w="71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10 %</w:t>
            </w:r>
          </w:p>
        </w:tc>
        <w:tc>
          <w:tcPr>
            <w:tcW w:type="dxa" w:w="267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Reporting, plan de progrès, SLA</w:t>
            </w:r>
          </w:p>
        </w:tc>
        <w:tc>
          <w:tcPr>
            <w:tcW w:type="dxa" w:w="71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10 %</w:t>
            </w:r>
          </w:p>
        </w:tc>
        <w:tc>
          <w:tcPr>
            <w:tcW w:type="dxa" w:w="357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Modèles, calendrier, engagements de service</w:t>
            </w:r>
          </w:p>
        </w:tc>
      </w:tr>
    </w:tbl>
    <w:p>
      <w:pPr>
        <w:spacing w:after="120" w:before="120" w:line="276"/>
        <w:jc w:val="both"/>
      </w:pPr>
      <w:r>
        <w:rPr>
          <w:rFonts w:ascii="Arial" w:cs="Arial" w:eastAsia="Arial" w:hAnsi="Arial"/>
          <w:i/>
          <w:iCs/>
          <w:color w:val="171A1C"/>
          <w:sz w:val="21"/>
          <w:szCs w:val="21"/>
        </w:rPr>
        <w:t xml:space="preserve">Une attention particulière sera portée aux animations pédagogiques proposées aux enfants dans le cadre de la transition alimentaire.</w:t>
      </w:r>
    </w:p>
    <w:p>
      <w:pPr>
        <w:spacing w:after="120" w:before="0" w:line="276"/>
        <w:jc w:val="both"/>
      </w:pPr>
      <w:r>
        <w:rPr>
          <w:rFonts w:ascii="Arial" w:cs="Arial" w:eastAsia="Arial" w:hAnsi="Arial"/>
          <w:b/>
          <w:bCs/>
          <w:color w:val="171A1C"/>
          <w:sz w:val="21"/>
          <w:szCs w:val="21"/>
        </w:rPr>
        <w:t xml:space="preserve">RC-A16 — Méthode de notation. </w:t>
      </w:r>
      <w:r>
        <w:rPr>
          <w:rFonts w:ascii="Arial" w:cs="Arial" w:eastAsia="Arial" w:hAnsi="Arial"/>
          <w:color w:val="171A1C"/>
          <w:sz w:val="21"/>
          <w:szCs w:val="21"/>
        </w:rPr>
        <w:t xml:space="preserve">Chaque sous-critère est noté de 0 à 5 puis pondéré. Une note inférieure à 2/5 sur la continuité de service entraîne le rejet de l'offre.</w:t>
      </w:r>
    </w:p>
    <w:p>
      <w:pPr>
        <w:spacing w:after="120" w:before="0" w:line="276"/>
        <w:jc w:val="both"/>
      </w:pPr>
      <w:r>
        <w:rPr>
          <w:rFonts w:ascii="Arial" w:cs="Arial" w:eastAsia="Arial" w:hAnsi="Arial"/>
          <w:b/>
          <w:bCs/>
          <w:color w:val="171A1C"/>
          <w:sz w:val="21"/>
          <w:szCs w:val="21"/>
        </w:rPr>
        <w:t xml:space="preserve">RC-A20 — Attribution. </w:t>
      </w:r>
      <w:r>
        <w:rPr>
          <w:rFonts w:ascii="Arial" w:cs="Arial" w:eastAsia="Arial" w:hAnsi="Arial"/>
          <w:color w:val="171A1C"/>
          <w:sz w:val="21"/>
          <w:szCs w:val="21"/>
        </w:rPr>
        <w:t xml:space="preserve">Notification prévue en mars 2027 ; démarrage des prestations le 1er septembre 2027 après une période de préparation de deux mois.</w:t>
      </w:r>
    </w:p>
    <w:p>
      <w:pPr>
        <w:pStyle w:val="Heading1"/>
        <w:keepNext/>
        <w:spacing w:after="160" w:before="360"/>
      </w:pPr>
      <w:r>
        <w:rPr>
          <w:rFonts w:ascii="Arial" w:cs="Arial" w:eastAsia="Arial" w:hAnsi="Arial"/>
          <w:b/>
          <w:bCs/>
          <w:color w:val="2E6071"/>
          <w:sz w:val="30"/>
          <w:szCs w:val="30"/>
        </w:rPr>
        <w:t xml:space="preserve">Partie B — Cahier des clauses techniques particulières (extraits)</w:t>
      </w:r>
    </w:p>
    <w:p>
      <w:pPr>
        <w:spacing w:after="120" w:before="0" w:line="276"/>
        <w:jc w:val="both"/>
      </w:pPr>
      <w:r>
        <w:rPr>
          <w:rFonts w:ascii="Arial" w:cs="Arial" w:eastAsia="Arial" w:hAnsi="Arial"/>
          <w:color w:val="171A1C"/>
          <w:sz w:val="21"/>
          <w:szCs w:val="21"/>
        </w:rPr>
        <w:t xml:space="preserve">Les clauses ci-dessous sont extraites du CCTP pédagogique. Elles précisent les obligations du titulaire, les preuves attendues dans l'offre et les fréquences de reporting. Chaque clause porte un identifiant (CCTP-x.y) repris dans le classeur de données (onglet AO_VdA_CCTP) afin de permettre la citation des sources par l'Agent 1.</w:t>
      </w:r>
    </w:p>
    <w:p>
      <w:pPr>
        <w:pStyle w:val="Heading2"/>
        <w:keepNext/>
        <w:spacing w:after="120" w:before="240"/>
      </w:pPr>
      <w:r>
        <w:rPr>
          <w:rFonts w:ascii="Arial" w:cs="Arial" w:eastAsia="Arial" w:hAnsi="Arial"/>
          <w:b/>
          <w:bCs/>
          <w:color w:val="25282B"/>
          <w:sz w:val="24"/>
          <w:szCs w:val="24"/>
        </w:rPr>
        <w:t xml:space="preserve">1. Objet et périmètre</w:t>
      </w:r>
    </w:p>
    <w:p>
      <w:pPr>
        <w:spacing w:after="40" w:before="0" w:line="276"/>
        <w:jc w:val="both"/>
      </w:pPr>
      <w:r>
        <w:rPr>
          <w:rFonts w:ascii="Arial" w:cs="Arial" w:eastAsia="Arial" w:hAnsi="Arial"/>
          <w:b/>
          <w:bCs/>
          <w:color w:val="2E6071"/>
          <w:sz w:val="21"/>
          <w:szCs w:val="21"/>
        </w:rPr>
        <w:t xml:space="preserve">CCTP-1.1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assure la production, la livraison le cas échéant, le service et le nettoyage de la vaisselle pour six groupes scolaires (annexe 1) et deux accueils de loisirs. Le service en salle est assuré par le personnel de la collectivité ; le titulaire fournit un agent de production par site de plus de 400 repas.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Organigramme et effectifs par site — Critère lié : RC-01</w:t>
      </w:r>
    </w:p>
    <w:p>
      <w:pPr>
        <w:spacing w:after="40" w:before="0" w:line="276"/>
        <w:jc w:val="both"/>
      </w:pPr>
      <w:r>
        <w:rPr>
          <w:rFonts w:ascii="Arial" w:cs="Arial" w:eastAsia="Arial" w:hAnsi="Arial"/>
          <w:b/>
          <w:bCs/>
          <w:color w:val="2E6071"/>
          <w:sz w:val="21"/>
          <w:szCs w:val="21"/>
        </w:rPr>
        <w:t xml:space="preserve">CCTP-1.2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Les prestations comprennent le déjeuner (entrée, plat protidique, garniture, produit laitier, dessert), le pain et l'eau. Les goûters des accueils de loisirs font l'objet d'un prix distinct.</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BPU — Critère lié : RC-05</w:t>
      </w:r>
    </w:p>
    <w:p>
      <w:pPr>
        <w:pStyle w:val="Heading2"/>
        <w:keepNext/>
        <w:spacing w:after="120" w:before="240"/>
      </w:pPr>
      <w:r>
        <w:rPr>
          <w:rFonts w:ascii="Arial" w:cs="Arial" w:eastAsia="Arial" w:hAnsi="Arial"/>
          <w:b/>
          <w:bCs/>
          <w:color w:val="25282B"/>
          <w:sz w:val="24"/>
          <w:szCs w:val="24"/>
        </w:rPr>
        <w:t xml:space="preserve">2. Mode de production</w:t>
      </w:r>
    </w:p>
    <w:p>
      <w:pPr>
        <w:spacing w:after="40" w:before="0" w:line="276"/>
        <w:jc w:val="both"/>
      </w:pPr>
      <w:r>
        <w:rPr>
          <w:rFonts w:ascii="Arial" w:cs="Arial" w:eastAsia="Arial" w:hAnsi="Arial"/>
          <w:b/>
          <w:bCs/>
          <w:color w:val="2E6071"/>
          <w:sz w:val="21"/>
          <w:szCs w:val="21"/>
        </w:rPr>
        <w:t xml:space="preserve">CCTP-2.1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candidat précise le mode de production retenu (cuisine sur place, liaison chaude ou liaison froide). En liaison froide, la remise en température est réalisée sur site par le personnel du titulaire dans les 30 minutes précédant le service.</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Description du mode de production, plan de remise en température — Critère lié : RC-01</w:t>
      </w:r>
    </w:p>
    <w:p>
      <w:pPr>
        <w:spacing w:after="40" w:before="0" w:line="276"/>
        <w:jc w:val="both"/>
      </w:pPr>
      <w:r>
        <w:rPr>
          <w:rFonts w:ascii="Arial" w:cs="Arial" w:eastAsia="Arial" w:hAnsi="Arial"/>
          <w:b/>
          <w:bCs/>
          <w:color w:val="2E6071"/>
          <w:sz w:val="21"/>
          <w:szCs w:val="21"/>
        </w:rPr>
        <w:t xml:space="preserve">CCTP-2.2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dispose d'une solution de secours permettant de servir un repas complet dans les 24 heures en cas d'indisponibilité de l'unité de production principale. Cette solution est testée au moins une fois par an et le rapport de test est transmis à la collectivité.</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Plan de continuité, rapport du dernier test — Fréquence / délai : Annuelle — Critère lié : RC-01</w:t>
      </w:r>
    </w:p>
    <w:p>
      <w:pPr>
        <w:pStyle w:val="Heading2"/>
        <w:keepNext/>
        <w:spacing w:after="120" w:before="240"/>
      </w:pPr>
      <w:r>
        <w:rPr>
          <w:rFonts w:ascii="Arial" w:cs="Arial" w:eastAsia="Arial" w:hAnsi="Arial"/>
          <w:b/>
          <w:bCs/>
          <w:color w:val="25282B"/>
          <w:sz w:val="24"/>
          <w:szCs w:val="24"/>
        </w:rPr>
        <w:t xml:space="preserve">3. Approvisionnements</w:t>
      </w:r>
    </w:p>
    <w:p>
      <w:pPr>
        <w:spacing w:after="40" w:before="0" w:line="276"/>
        <w:jc w:val="both"/>
      </w:pPr>
      <w:r>
        <w:rPr>
          <w:rFonts w:ascii="Arial" w:cs="Arial" w:eastAsia="Arial" w:hAnsi="Arial"/>
          <w:b/>
          <w:bCs/>
          <w:color w:val="2E6071"/>
          <w:sz w:val="21"/>
          <w:szCs w:val="21"/>
        </w:rPr>
        <w:t xml:space="preserve">CCTP-3.1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Conformément à la réglementation en vigueur (loi EGAlim et textes subséquents), la part des produits durables et de qualité atteint au minimum 50 % de la valeur des achats, dont au moins 20 % de produits issus de l'agriculture biologique. Le titulaire présente sa trajectoire si ces seuils ne sont pas atteints au démarrage.</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Tableau des achats par catégorie et label ; certificats — Fréquence / délai : Annuelle (télédéclaration « ma cantine ») — Critère lié : RC-06</w:t>
      </w:r>
    </w:p>
    <w:p>
      <w:pPr>
        <w:spacing w:after="40" w:before="0" w:line="276"/>
        <w:jc w:val="both"/>
      </w:pPr>
      <w:r>
        <w:rPr>
          <w:rFonts w:ascii="Arial" w:cs="Arial" w:eastAsia="Arial" w:hAnsi="Arial"/>
          <w:b/>
          <w:bCs/>
          <w:color w:val="2E6071"/>
          <w:sz w:val="21"/>
          <w:szCs w:val="21"/>
        </w:rPr>
        <w:t xml:space="preserve">CCTP-3.2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fournit chaque année les données nécessaires à la télédéclaration de la collectivité sur la plateforme « ma cantine », au plus tard le 31 janvier.</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Extrait de télédéclaration ou tableau équivalent — Fréquence / délai : Annuelle — Critère lié : RC-06</w:t>
      </w:r>
    </w:p>
    <w:p>
      <w:pPr>
        <w:spacing w:after="40" w:before="0" w:line="276"/>
        <w:jc w:val="both"/>
      </w:pPr>
      <w:r>
        <w:rPr>
          <w:rFonts w:ascii="Arial" w:cs="Arial" w:eastAsia="Arial" w:hAnsi="Arial"/>
          <w:b/>
          <w:bCs/>
          <w:color w:val="2E6071"/>
          <w:sz w:val="21"/>
          <w:szCs w:val="21"/>
        </w:rPr>
        <w:t xml:space="preserve">CCTP-3.3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La viande bovine est d'origine française ; le poisson frais provient de pêche durable ou d'aquaculture certifiée. L'origine des viandes est affichée dans chaque restaurant.</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Attestations fournisseurs, affichage — Fréquence / délai : Mensuelle (affichage) — Critère lié : RC-06</w:t>
      </w:r>
    </w:p>
    <w:p>
      <w:pPr>
        <w:spacing w:after="40" w:before="0" w:line="276"/>
        <w:jc w:val="both"/>
      </w:pPr>
      <w:r>
        <w:rPr>
          <w:rFonts w:ascii="Arial" w:cs="Arial" w:eastAsia="Arial" w:hAnsi="Arial"/>
          <w:b/>
          <w:bCs/>
          <w:color w:val="2E6071"/>
          <w:sz w:val="21"/>
          <w:szCs w:val="21"/>
        </w:rPr>
        <w:t xml:space="preserve">CCTP-3.4 </w:t>
      </w:r>
      <w:r>
        <w:rPr>
          <w:rFonts w:ascii="Arial" w:cs="Arial" w:eastAsia="Arial" w:hAnsi="Arial"/>
          <w:b/>
          <w:bCs/>
          <w:color w:val="6D7175"/>
          <w:sz w:val="18"/>
          <w:szCs w:val="18"/>
        </w:rPr>
        <w:t xml:space="preserve">[Attendu] </w:t>
      </w:r>
      <w:r>
        <w:rPr>
          <w:rFonts w:ascii="Arial" w:cs="Arial" w:eastAsia="Arial" w:hAnsi="Arial"/>
          <w:color w:val="171A1C"/>
          <w:sz w:val="21"/>
          <w:szCs w:val="21"/>
        </w:rPr>
        <w:t xml:space="preserve">Le candidat indique la part des produits provenant d'un rayon de 150 km autour de l'agglomération. Cette part n'est pas un critère d'attribution mais figure dans le rapport annuel.</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Tableau d'origine des produits — Fréquence / délai : Annuelle — Critère lié : RC-06</w:t>
      </w:r>
    </w:p>
    <w:p>
      <w:pPr>
        <w:pStyle w:val="Heading2"/>
        <w:keepNext/>
        <w:spacing w:after="120" w:before="240"/>
      </w:pPr>
      <w:r>
        <w:rPr>
          <w:rFonts w:ascii="Arial" w:cs="Arial" w:eastAsia="Arial" w:hAnsi="Arial"/>
          <w:b/>
          <w:bCs/>
          <w:color w:val="25282B"/>
          <w:sz w:val="24"/>
          <w:szCs w:val="24"/>
        </w:rPr>
        <w:t xml:space="preserve">4. Menus et qualité nutritionnelle</w:t>
      </w:r>
    </w:p>
    <w:p>
      <w:pPr>
        <w:spacing w:after="40" w:before="0" w:line="276"/>
        <w:jc w:val="both"/>
      </w:pPr>
      <w:r>
        <w:rPr>
          <w:rFonts w:ascii="Arial" w:cs="Arial" w:eastAsia="Arial" w:hAnsi="Arial"/>
          <w:b/>
          <w:bCs/>
          <w:color w:val="2E6071"/>
          <w:sz w:val="21"/>
          <w:szCs w:val="21"/>
        </w:rPr>
        <w:t xml:space="preserve">CCTP-4.1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Les menus respectent l'arrêté du 30 septembre 2011 relatif à la qualité nutritionnelle des repas servis en restauration scolaire (fréquences sur 20 repas consécutifs, grammages).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Plan alimentaire, grille de fréquences — Fréquence / délai : Par cycle — Critère lié : RC-02</w:t>
      </w:r>
    </w:p>
    <w:p>
      <w:pPr>
        <w:spacing w:after="40" w:before="0" w:line="276"/>
        <w:jc w:val="both"/>
      </w:pPr>
      <w:r>
        <w:rPr>
          <w:rFonts w:ascii="Arial" w:cs="Arial" w:eastAsia="Arial" w:hAnsi="Arial"/>
          <w:b/>
          <w:bCs/>
          <w:color w:val="2E6071"/>
          <w:sz w:val="21"/>
          <w:szCs w:val="21"/>
        </w:rPr>
        <w:t xml:space="preserve">CCTP-4.2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Un menu végétarien est servi au moins une fois par semaine ; le candidat précise sa méthode de test d'acceptation des recettes végétariennes auprès des convives.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Cycle de menus ; méthode de test convives — Fréquence / délai : Hebdomadaire — Critère lié : RC-02</w:t>
      </w:r>
    </w:p>
    <w:p>
      <w:pPr>
        <w:spacing w:after="40" w:before="0" w:line="276"/>
        <w:jc w:val="both"/>
      </w:pPr>
      <w:r>
        <w:rPr>
          <w:rFonts w:ascii="Arial" w:cs="Arial" w:eastAsia="Arial" w:hAnsi="Arial"/>
          <w:b/>
          <w:bCs/>
          <w:color w:val="2E6071"/>
          <w:sz w:val="21"/>
          <w:szCs w:val="21"/>
        </w:rPr>
        <w:t xml:space="preserve">CCTP-4.3 </w:t>
      </w:r>
      <w:r>
        <w:rPr>
          <w:rFonts w:ascii="Arial" w:cs="Arial" w:eastAsia="Arial" w:hAnsi="Arial"/>
          <w:b/>
          <w:bCs/>
          <w:color w:val="6D7175"/>
          <w:sz w:val="18"/>
          <w:szCs w:val="18"/>
        </w:rPr>
        <w:t xml:space="preserve">[Attendu] </w:t>
      </w:r>
      <w:r>
        <w:rPr>
          <w:rFonts w:ascii="Arial" w:cs="Arial" w:eastAsia="Arial" w:hAnsi="Arial"/>
          <w:color w:val="171A1C"/>
          <w:sz w:val="21"/>
          <w:szCs w:val="21"/>
        </w:rPr>
        <w:t xml:space="preserve">Les menus sont attractifs et innovants ; ils intègrent des recettes de saison et valorisent le patrimoine culinaire régional.</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Cycle de menus commenté — Critère lié : RC-02</w:t>
      </w:r>
    </w:p>
    <w:p>
      <w:pPr>
        <w:spacing w:after="40" w:before="0" w:line="276"/>
        <w:jc w:val="both"/>
      </w:pPr>
      <w:r>
        <w:rPr>
          <w:rFonts w:ascii="Arial" w:cs="Arial" w:eastAsia="Arial" w:hAnsi="Arial"/>
          <w:b/>
          <w:bCs/>
          <w:color w:val="2E6071"/>
          <w:sz w:val="21"/>
          <w:szCs w:val="21"/>
        </w:rPr>
        <w:t xml:space="preserve">CCTP-4.4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Les menus sont communiqués à la collectivité et aux familles au moins dix jours avant le début de chaque période, via le portail de la collectivité, avec la liste des allergènes.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Exemple de publication — Fréquence / délai : Par période — Critère lié : RC-03</w:t>
      </w:r>
    </w:p>
    <w:p>
      <w:pPr>
        <w:spacing w:after="40" w:before="0" w:line="276"/>
        <w:jc w:val="both"/>
      </w:pPr>
      <w:r>
        <w:rPr>
          <w:rFonts w:ascii="Arial" w:cs="Arial" w:eastAsia="Arial" w:hAnsi="Arial"/>
          <w:b/>
          <w:bCs/>
          <w:color w:val="2E6071"/>
          <w:sz w:val="21"/>
          <w:szCs w:val="21"/>
        </w:rPr>
        <w:t xml:space="preserve">CCTP-4.5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cycle de menus est établi sur huit semaines minimum et validé par la commission menus (collectivité, parents, diététicien du titulaire) qui se réunit chaque trimestre.</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Cycle 8 semaines, compte rendu de commission — Fréquence / délai : Trimestrielle — Critère lié : RC-02</w:t>
      </w:r>
    </w:p>
    <w:p>
      <w:pPr>
        <w:pStyle w:val="Heading2"/>
        <w:keepNext/>
        <w:spacing w:after="120" w:before="240"/>
      </w:pPr>
      <w:r>
        <w:rPr>
          <w:rFonts w:ascii="Arial" w:cs="Arial" w:eastAsia="Arial" w:hAnsi="Arial"/>
          <w:b/>
          <w:bCs/>
          <w:color w:val="25282B"/>
          <w:sz w:val="24"/>
          <w:szCs w:val="24"/>
        </w:rPr>
        <w:t xml:space="preserve">5. Régimes et allergies</w:t>
      </w:r>
    </w:p>
    <w:p>
      <w:pPr>
        <w:spacing w:after="40" w:before="0" w:line="276"/>
        <w:jc w:val="both"/>
      </w:pPr>
      <w:r>
        <w:rPr>
          <w:rFonts w:ascii="Arial" w:cs="Arial" w:eastAsia="Arial" w:hAnsi="Arial"/>
          <w:b/>
          <w:bCs/>
          <w:color w:val="2E6071"/>
          <w:sz w:val="21"/>
          <w:szCs w:val="21"/>
        </w:rPr>
        <w:t xml:space="preserve">CCTP-5.1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applique les projets d'accueil individualisé (PAI) transmis par la collectivité et propose un panier repas de substitution lorsque le PAI l'exige. Aucune éviction n'est décidée par le titulaire sans PAI écrit.</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Procédure PAI — Critère lié : RC-01</w:t>
      </w:r>
    </w:p>
    <w:p>
      <w:pPr>
        <w:spacing w:after="40" w:before="0" w:line="276"/>
        <w:jc w:val="both"/>
      </w:pPr>
      <w:r>
        <w:rPr>
          <w:rFonts w:ascii="Arial" w:cs="Arial" w:eastAsia="Arial" w:hAnsi="Arial"/>
          <w:b/>
          <w:bCs/>
          <w:color w:val="2E6071"/>
          <w:sz w:val="21"/>
          <w:szCs w:val="21"/>
        </w:rPr>
        <w:t xml:space="preserve">CCTP-5.2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Les 14 allergènes à déclaration obligatoire sont affichés chaque jour sur chaque site, de manière lisible, à hauteur d'enfant et à l'entrée du restaurant.</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Modèle d'affichage, photos — Fréquence / délai : Quotidienne — Critère lié : RC-03</w:t>
      </w:r>
    </w:p>
    <w:p>
      <w:pPr>
        <w:spacing w:after="40" w:before="0" w:line="276"/>
        <w:jc w:val="both"/>
      </w:pPr>
      <w:r>
        <w:rPr>
          <w:rFonts w:ascii="Arial" w:cs="Arial" w:eastAsia="Arial" w:hAnsi="Arial"/>
          <w:b/>
          <w:bCs/>
          <w:color w:val="2E6071"/>
          <w:sz w:val="21"/>
          <w:szCs w:val="21"/>
        </w:rPr>
        <w:t xml:space="preserve">CCTP-5.3 </w:t>
      </w:r>
      <w:r>
        <w:rPr>
          <w:rFonts w:ascii="Arial" w:cs="Arial" w:eastAsia="Arial" w:hAnsi="Arial"/>
          <w:b/>
          <w:bCs/>
          <w:color w:val="6D7175"/>
          <w:sz w:val="18"/>
          <w:szCs w:val="18"/>
        </w:rPr>
        <w:t xml:space="preserve">[Attendu] </w:t>
      </w:r>
      <w:r>
        <w:rPr>
          <w:rFonts w:ascii="Arial" w:cs="Arial" w:eastAsia="Arial" w:hAnsi="Arial"/>
          <w:color w:val="171A1C"/>
          <w:sz w:val="21"/>
          <w:szCs w:val="21"/>
        </w:rPr>
        <w:t xml:space="preserve">Un repas sans porc est proposé chaque jour ; une alternative végétarienne quotidienne pourra être demandée en cours de contrat, sans plus-value pour les sites de plus de 300 repas.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Engagement dans le mémoire — Fréquence / délai : Quotidienne — Critère lié : RC-02</w:t>
      </w:r>
    </w:p>
    <w:p>
      <w:pPr>
        <w:pStyle w:val="Heading2"/>
        <w:keepNext/>
        <w:spacing w:after="120" w:before="240"/>
      </w:pPr>
      <w:r>
        <w:rPr>
          <w:rFonts w:ascii="Arial" w:cs="Arial" w:eastAsia="Arial" w:hAnsi="Arial"/>
          <w:b/>
          <w:bCs/>
          <w:color w:val="25282B"/>
          <w:sz w:val="24"/>
          <w:szCs w:val="24"/>
        </w:rPr>
        <w:t xml:space="preserve">6. Hygiène et sécurité</w:t>
      </w:r>
    </w:p>
    <w:p>
      <w:pPr>
        <w:spacing w:after="40" w:before="0" w:line="276"/>
        <w:jc w:val="both"/>
      </w:pPr>
      <w:r>
        <w:rPr>
          <w:rFonts w:ascii="Arial" w:cs="Arial" w:eastAsia="Arial" w:hAnsi="Arial"/>
          <w:b/>
          <w:bCs/>
          <w:color w:val="2E6071"/>
          <w:sz w:val="21"/>
          <w:szCs w:val="21"/>
        </w:rPr>
        <w:t xml:space="preserve">CCTP-6.1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met en œuvre un plan de maîtrise sanitaire (PMS) conforme au paquet hygiène, tient les enregistrements de température et procède aux autocontrôles microbiologiques mensuels.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PMS, résultats d'autocontrôles — Fréquence / délai : Mensuelle — Critère lié : RC-01</w:t>
      </w:r>
    </w:p>
    <w:p>
      <w:pPr>
        <w:spacing w:after="40" w:before="0" w:line="276"/>
        <w:jc w:val="both"/>
      </w:pPr>
      <w:r>
        <w:rPr>
          <w:rFonts w:ascii="Arial" w:cs="Arial" w:eastAsia="Arial" w:hAnsi="Arial"/>
          <w:b/>
          <w:bCs/>
          <w:color w:val="2E6071"/>
          <w:sz w:val="21"/>
          <w:szCs w:val="21"/>
        </w:rPr>
        <w:t xml:space="preserve">CCTP-6.2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Tout incident sanitaire (suspicion de toxi-infection alimentaire collective, corps étranger, rupture de la chaîne du froid) est signalé à la collectivité dans l'heure et fait l'objet d'un rapport écrit sous 48 heures.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Procédure de gestion des incidents — Fréquence / délai : Par incident — Critère lié : RC-01</w:t>
      </w:r>
    </w:p>
    <w:p>
      <w:pPr>
        <w:spacing w:after="40" w:before="0" w:line="276"/>
        <w:jc w:val="both"/>
      </w:pPr>
      <w:r>
        <w:rPr>
          <w:rFonts w:ascii="Arial" w:cs="Arial" w:eastAsia="Arial" w:hAnsi="Arial"/>
          <w:b/>
          <w:bCs/>
          <w:color w:val="2E6071"/>
          <w:sz w:val="21"/>
          <w:szCs w:val="21"/>
        </w:rPr>
        <w:t xml:space="preserve">CCTP-6.3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Les contenants de cuisson, de réchauffe et de service sont sans plastique, conformément à la réglementation applicable à la restauration scolaire.</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Inventaire des contenants — Critère lié : RC-06</w:t>
      </w:r>
    </w:p>
    <w:p>
      <w:pPr>
        <w:pStyle w:val="Heading2"/>
        <w:keepNext/>
        <w:spacing w:after="120" w:before="240"/>
      </w:pPr>
      <w:r>
        <w:rPr>
          <w:rFonts w:ascii="Arial" w:cs="Arial" w:eastAsia="Arial" w:hAnsi="Arial"/>
          <w:b/>
          <w:bCs/>
          <w:color w:val="25282B"/>
          <w:sz w:val="24"/>
          <w:szCs w:val="24"/>
        </w:rPr>
        <w:t xml:space="preserve">7. Personnel et continuité</w:t>
      </w:r>
    </w:p>
    <w:p>
      <w:pPr>
        <w:spacing w:after="40" w:before="0" w:line="276"/>
        <w:jc w:val="both"/>
      </w:pPr>
      <w:r>
        <w:rPr>
          <w:rFonts w:ascii="Arial" w:cs="Arial" w:eastAsia="Arial" w:hAnsi="Arial"/>
          <w:b/>
          <w:bCs/>
          <w:color w:val="2E6071"/>
          <w:sz w:val="21"/>
          <w:szCs w:val="21"/>
        </w:rPr>
        <w:t xml:space="preserve">CCTP-7.1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garantit un taux d'encadrement minimal (un agent de production pour 120 repas en cuisine sur place) et assure le remplacement de tout agent absent dans la journée.</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Organisation des remplacements — Critère lié : RC-01</w:t>
      </w:r>
    </w:p>
    <w:p>
      <w:pPr>
        <w:spacing w:after="40" w:before="0" w:line="276"/>
        <w:jc w:val="both"/>
      </w:pPr>
      <w:r>
        <w:rPr>
          <w:rFonts w:ascii="Arial" w:cs="Arial" w:eastAsia="Arial" w:hAnsi="Arial"/>
          <w:b/>
          <w:bCs/>
          <w:color w:val="2E6071"/>
          <w:sz w:val="21"/>
          <w:szCs w:val="21"/>
        </w:rPr>
        <w:t xml:space="preserve">CCTP-7.2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personnel du titulaire suit au moins deux formations par an (hygiène, allergènes, lutte contre le gaspillage, service aux enfants). Le plan de formation est transmis annuellement.</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Plan de formation et taux de réalisation — Fréquence / délai : Annuelle — Critère lié : RC-01</w:t>
      </w:r>
    </w:p>
    <w:p>
      <w:pPr>
        <w:pStyle w:val="Heading2"/>
        <w:keepNext/>
        <w:spacing w:after="120" w:before="240"/>
      </w:pPr>
      <w:r>
        <w:rPr>
          <w:rFonts w:ascii="Arial" w:cs="Arial" w:eastAsia="Arial" w:hAnsi="Arial"/>
          <w:b/>
          <w:bCs/>
          <w:color w:val="25282B"/>
          <w:sz w:val="24"/>
          <w:szCs w:val="24"/>
        </w:rPr>
        <w:t xml:space="preserve">8. Lutte contre le gaspillage</w:t>
      </w:r>
    </w:p>
    <w:p>
      <w:pPr>
        <w:spacing w:after="40" w:before="0" w:line="276"/>
        <w:jc w:val="both"/>
      </w:pPr>
      <w:r>
        <w:rPr>
          <w:rFonts w:ascii="Arial" w:cs="Arial" w:eastAsia="Arial" w:hAnsi="Arial"/>
          <w:b/>
          <w:bCs/>
          <w:color w:val="2E6071"/>
          <w:sz w:val="21"/>
          <w:szCs w:val="21"/>
        </w:rPr>
        <w:t xml:space="preserve">CCTP-8.1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réalise un diagnostic du gaspillage alimentaire dans les six mois suivant le démarrage, puis des pesées au moins deux fois par semaine sur chaque site, selon une méthode unique et documentée.</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Méthode de pesée, calendrier — Fréquence / délai : 2 fois / semaine — Critère lié : RC-07</w:t>
      </w:r>
    </w:p>
    <w:p>
      <w:pPr>
        <w:spacing w:after="40" w:before="0" w:line="276"/>
        <w:jc w:val="both"/>
      </w:pPr>
      <w:r>
        <w:rPr>
          <w:rFonts w:ascii="Arial" w:cs="Arial" w:eastAsia="Arial" w:hAnsi="Arial"/>
          <w:b/>
          <w:bCs/>
          <w:color w:val="2E6071"/>
          <w:sz w:val="21"/>
          <w:szCs w:val="21"/>
        </w:rPr>
        <w:t xml:space="preserve">CCTP-8.2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candidat propose une cible chiffrée de réduction des restes (en grammes par convive) à 12 et 36 mois, ainsi qu'un plan de tests (portions, recettes, animations) avec une méthode d'évaluation.</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Plan de réduction chiffré — Fréquence / délai : Trimestrielle (suivi) — Critère lié : RC-07</w:t>
      </w:r>
    </w:p>
    <w:p>
      <w:pPr>
        <w:spacing w:after="40" w:before="0" w:line="276"/>
        <w:jc w:val="both"/>
      </w:pPr>
      <w:r>
        <w:rPr>
          <w:rFonts w:ascii="Arial" w:cs="Arial" w:eastAsia="Arial" w:hAnsi="Arial"/>
          <w:b/>
          <w:bCs/>
          <w:color w:val="2E6071"/>
          <w:sz w:val="21"/>
          <w:szCs w:val="21"/>
        </w:rPr>
        <w:t xml:space="preserve">CCTP-8.3 </w:t>
      </w:r>
      <w:r>
        <w:rPr>
          <w:rFonts w:ascii="Arial" w:cs="Arial" w:eastAsia="Arial" w:hAnsi="Arial"/>
          <w:b/>
          <w:bCs/>
          <w:color w:val="6D7175"/>
          <w:sz w:val="18"/>
          <w:szCs w:val="18"/>
        </w:rPr>
        <w:t xml:space="preserve">[Attendu] </w:t>
      </w:r>
      <w:r>
        <w:rPr>
          <w:rFonts w:ascii="Arial" w:cs="Arial" w:eastAsia="Arial" w:hAnsi="Arial"/>
          <w:color w:val="171A1C"/>
          <w:sz w:val="21"/>
          <w:szCs w:val="21"/>
        </w:rPr>
        <w:t xml:space="preserve">Les excédents non servis font l'objet de dons à une association habilitée lorsque les conditions sanitaires le permettent ; le titulaire tient un registre des dons.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Convention de don, registre — Fréquence / délai : Mensuelle — Critère lié : RC-07</w:t>
      </w:r>
    </w:p>
    <w:p>
      <w:pPr>
        <w:pStyle w:val="Heading2"/>
        <w:keepNext/>
        <w:spacing w:after="120" w:before="240"/>
      </w:pPr>
      <w:r>
        <w:rPr>
          <w:rFonts w:ascii="Arial" w:cs="Arial" w:eastAsia="Arial" w:hAnsi="Arial"/>
          <w:b/>
          <w:bCs/>
          <w:color w:val="25282B"/>
          <w:sz w:val="24"/>
          <w:szCs w:val="24"/>
        </w:rPr>
        <w:t xml:space="preserve">9. Relation usagers</w:t>
      </w:r>
    </w:p>
    <w:p>
      <w:pPr>
        <w:spacing w:after="40" w:before="0" w:line="276"/>
        <w:jc w:val="both"/>
      </w:pPr>
      <w:r>
        <w:rPr>
          <w:rFonts w:ascii="Arial" w:cs="Arial" w:eastAsia="Arial" w:hAnsi="Arial"/>
          <w:b/>
          <w:bCs/>
          <w:color w:val="2E6071"/>
          <w:sz w:val="21"/>
          <w:szCs w:val="21"/>
        </w:rPr>
        <w:t xml:space="preserve">CCTP-9.1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met en place un point d'entrée unique pour les remarques et réclamations des familles et des directions d'école (formulaire ou adresse dédiée), avec accusé de réception sous 48 heures et réponse sous cinq jours ouvrés.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Description du dispositif, exemples — Fréquence / délai : Par message — Critère lié : RC-03</w:t>
      </w:r>
    </w:p>
    <w:p>
      <w:pPr>
        <w:spacing w:after="40" w:before="0" w:line="276"/>
        <w:jc w:val="both"/>
      </w:pPr>
      <w:r>
        <w:rPr>
          <w:rFonts w:ascii="Arial" w:cs="Arial" w:eastAsia="Arial" w:hAnsi="Arial"/>
          <w:b/>
          <w:bCs/>
          <w:color w:val="2E6071"/>
          <w:sz w:val="21"/>
          <w:szCs w:val="21"/>
        </w:rPr>
        <w:t xml:space="preserve">CCTP-9.2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Toute réclamation relative à la santé d'un enfant (allergie, malaise, symptôme) est transmise à la collectivité le jour même et traitée en priorité ; la réponse aux familles est validée par la collectivité.</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Procédure d'escalade — Fréquence / délai : Le jour même — Critère lié : RC-03</w:t>
      </w:r>
    </w:p>
    <w:p>
      <w:pPr>
        <w:spacing w:after="40" w:before="0" w:line="276"/>
        <w:jc w:val="both"/>
      </w:pPr>
      <w:r>
        <w:rPr>
          <w:rFonts w:ascii="Arial" w:cs="Arial" w:eastAsia="Arial" w:hAnsi="Arial"/>
          <w:b/>
          <w:bCs/>
          <w:color w:val="2E6071"/>
          <w:sz w:val="21"/>
          <w:szCs w:val="21"/>
        </w:rPr>
        <w:t xml:space="preserve">CCTP-9.3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présente chaque trimestre une synthèse des réclamations par thème et par site, distinguant incidents sensibles, irritants récurrents et retours positifs, avec les actions correctives engagées.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Modèle de synthèse trimestrielle — Fréquence / délai : Trimestrielle — Critère lié : RC-03</w:t>
      </w:r>
    </w:p>
    <w:p>
      <w:pPr>
        <w:spacing w:after="40" w:before="0" w:line="276"/>
        <w:jc w:val="both"/>
      </w:pPr>
      <w:r>
        <w:rPr>
          <w:rFonts w:ascii="Arial" w:cs="Arial" w:eastAsia="Arial" w:hAnsi="Arial"/>
          <w:b/>
          <w:bCs/>
          <w:color w:val="2E6071"/>
          <w:sz w:val="21"/>
          <w:szCs w:val="21"/>
        </w:rPr>
        <w:t xml:space="preserve">CCTP-9.4 </w:t>
      </w:r>
      <w:r>
        <w:rPr>
          <w:rFonts w:ascii="Arial" w:cs="Arial" w:eastAsia="Arial" w:hAnsi="Arial"/>
          <w:b/>
          <w:bCs/>
          <w:color w:val="6D7175"/>
          <w:sz w:val="18"/>
          <w:szCs w:val="18"/>
        </w:rPr>
        <w:t xml:space="preserve">[Attendu] </w:t>
      </w:r>
      <w:r>
        <w:rPr>
          <w:rFonts w:ascii="Arial" w:cs="Arial" w:eastAsia="Arial" w:hAnsi="Arial"/>
          <w:color w:val="171A1C"/>
          <w:sz w:val="21"/>
          <w:szCs w:val="21"/>
        </w:rPr>
        <w:t xml:space="preserve">Une enquête de satisfaction est réalisée au moins une fois par an auprès des enfants (méthode adaptée à l'âge) et des familles ; les résultats sont communiqués à la commission menus.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Méthode d'enquête, exemple de résultats — Fréquence / délai : Annuelle — Critère lié : RC-03</w:t>
      </w:r>
    </w:p>
    <w:p>
      <w:pPr>
        <w:pStyle w:val="Heading2"/>
        <w:keepNext/>
        <w:spacing w:after="120" w:before="240"/>
      </w:pPr>
      <w:r>
        <w:rPr>
          <w:rFonts w:ascii="Arial" w:cs="Arial" w:eastAsia="Arial" w:hAnsi="Arial"/>
          <w:b/>
          <w:bCs/>
          <w:color w:val="25282B"/>
          <w:sz w:val="24"/>
          <w:szCs w:val="24"/>
        </w:rPr>
        <w:t xml:space="preserve">10. Reporting et pilotage</w:t>
      </w:r>
    </w:p>
    <w:p>
      <w:pPr>
        <w:spacing w:after="40" w:before="0" w:line="276"/>
        <w:jc w:val="both"/>
      </w:pPr>
      <w:r>
        <w:rPr>
          <w:rFonts w:ascii="Arial" w:cs="Arial" w:eastAsia="Arial" w:hAnsi="Arial"/>
          <w:b/>
          <w:bCs/>
          <w:color w:val="2E6071"/>
          <w:sz w:val="21"/>
          <w:szCs w:val="21"/>
        </w:rPr>
        <w:t xml:space="preserve">CCTP-10.1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transmet un tableau de bord mensuel par site avant le 10 du mois suivant : repas servis, fréquentation, restes en g/convive, part de produits durables et bio, réclamations par thème, délai moyen de réponse, incidents.</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Modèle de tableau de bord — Fréquence / délai : Mensuelle (avant le 10) — Critère lié : RC-04</w:t>
      </w:r>
    </w:p>
    <w:p>
      <w:pPr>
        <w:spacing w:after="40" w:before="0" w:line="276"/>
        <w:jc w:val="both"/>
      </w:pPr>
      <w:r>
        <w:rPr>
          <w:rFonts w:ascii="Arial" w:cs="Arial" w:eastAsia="Arial" w:hAnsi="Arial"/>
          <w:b/>
          <w:bCs/>
          <w:color w:val="2E6071"/>
          <w:sz w:val="21"/>
          <w:szCs w:val="21"/>
        </w:rPr>
        <w:t xml:space="preserve">CCTP-10.2 </w:t>
      </w:r>
      <w:r>
        <w:rPr>
          <w:rFonts w:ascii="Arial" w:cs="Arial" w:eastAsia="Arial" w:hAnsi="Arial"/>
          <w:b/>
          <w:bCs/>
          <w:color w:val="6D7175"/>
          <w:sz w:val="18"/>
          <w:szCs w:val="18"/>
        </w:rPr>
        <w:t xml:space="preserve">[Attendu] </w:t>
      </w:r>
      <w:r>
        <w:rPr>
          <w:rFonts w:ascii="Arial" w:cs="Arial" w:eastAsia="Arial" w:hAnsi="Arial"/>
          <w:color w:val="171A1C"/>
          <w:sz w:val="21"/>
          <w:szCs w:val="21"/>
        </w:rPr>
        <w:t xml:space="preserve">Les données du tableau de bord sont fournies dans un format ouvert et réutilisable (CSV ou tableur), avec un dictionnaire des indicateurs. La collectivité peut demander un accès à un espace de restitution en ligne.</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Dictionnaire des indicateurs, exemple d'export — Fréquence / délai : Mensuelle — Critère lié : RC-04</w:t>
      </w:r>
    </w:p>
    <w:p>
      <w:pPr>
        <w:spacing w:after="40" w:before="0" w:line="276"/>
        <w:jc w:val="both"/>
      </w:pPr>
      <w:r>
        <w:rPr>
          <w:rFonts w:ascii="Arial" w:cs="Arial" w:eastAsia="Arial" w:hAnsi="Arial"/>
          <w:b/>
          <w:bCs/>
          <w:color w:val="2E6071"/>
          <w:sz w:val="21"/>
          <w:szCs w:val="21"/>
        </w:rPr>
        <w:t xml:space="preserve">CCTP-10.3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Une revue de performance trimestrielle réunit la collectivité et le titulaire ; le plan de progrès est actualisé à chaque revue et annexé au rapport annuel.</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Modèle de plan de progrès — Fréquence / délai : Trimestrielle — Critère lié : RC-08</w:t>
      </w:r>
    </w:p>
    <w:p>
      <w:pPr>
        <w:spacing w:after="40" w:before="0" w:line="276"/>
        <w:jc w:val="both"/>
      </w:pPr>
      <w:r>
        <w:rPr>
          <w:rFonts w:ascii="Arial" w:cs="Arial" w:eastAsia="Arial" w:hAnsi="Arial"/>
          <w:b/>
          <w:bCs/>
          <w:color w:val="2E6071"/>
          <w:sz w:val="21"/>
          <w:szCs w:val="21"/>
        </w:rPr>
        <w:t xml:space="preserve">CCTP-10.4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titulaire s'engage sur des niveaux de service (SLA) : délai de réponse aux réclamations, délai de remplacement d'un agent absent, délai de correction d'un menu non conforme. Les SLA proposés sont repris dans le mémoire technique.</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Tableau des SLA — Critère lié : RC-08</w:t>
      </w:r>
    </w:p>
    <w:p>
      <w:pPr>
        <w:pStyle w:val="Heading2"/>
        <w:keepNext/>
        <w:spacing w:after="120" w:before="240"/>
      </w:pPr>
      <w:r>
        <w:rPr>
          <w:rFonts w:ascii="Arial" w:cs="Arial" w:eastAsia="Arial" w:hAnsi="Arial"/>
          <w:b/>
          <w:bCs/>
          <w:color w:val="25282B"/>
          <w:sz w:val="24"/>
          <w:szCs w:val="24"/>
        </w:rPr>
        <w:t xml:space="preserve">11. Pénalités</w:t>
      </w:r>
    </w:p>
    <w:p>
      <w:pPr>
        <w:spacing w:after="40" w:before="0" w:line="276"/>
        <w:jc w:val="both"/>
      </w:pPr>
      <w:r>
        <w:rPr>
          <w:rFonts w:ascii="Arial" w:cs="Arial" w:eastAsia="Arial" w:hAnsi="Arial"/>
          <w:b/>
          <w:bCs/>
          <w:color w:val="2E6071"/>
          <w:sz w:val="21"/>
          <w:szCs w:val="21"/>
        </w:rPr>
        <w:t xml:space="preserve">CCTP-11.1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Des pénalités s'appliquent en cas de repas non servi (50 € par site et par jour), de non-respect du délai de réponse aux réclamations (20 € par réclamation) et de non-transmission du tableau de bord mensuel (100 € par mois de retard).</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 — Fréquence / délai : Par manquement — Critère lié : RC-08</w:t>
      </w:r>
    </w:p>
    <w:p>
      <w:pPr>
        <w:pStyle w:val="Heading2"/>
        <w:keepNext/>
        <w:spacing w:after="120" w:before="240"/>
      </w:pPr>
      <w:r>
        <w:rPr>
          <w:rFonts w:ascii="Arial" w:cs="Arial" w:eastAsia="Arial" w:hAnsi="Arial"/>
          <w:b/>
          <w:bCs/>
          <w:color w:val="25282B"/>
          <w:sz w:val="24"/>
          <w:szCs w:val="24"/>
        </w:rPr>
        <w:t xml:space="preserve">12. Documents annexes</w:t>
      </w:r>
    </w:p>
    <w:p>
      <w:pPr>
        <w:spacing w:after="40" w:before="0" w:line="276"/>
        <w:jc w:val="both"/>
      </w:pPr>
      <w:r>
        <w:rPr>
          <w:rFonts w:ascii="Arial" w:cs="Arial" w:eastAsia="Arial" w:hAnsi="Arial"/>
          <w:b/>
          <w:bCs/>
          <w:color w:val="2E6071"/>
          <w:sz w:val="21"/>
          <w:szCs w:val="21"/>
        </w:rPr>
        <w:t xml:space="preserve">CCTP-12.1 </w:t>
      </w:r>
      <w:r>
        <w:rPr>
          <w:rFonts w:ascii="Arial" w:cs="Arial" w:eastAsia="Arial" w:hAnsi="Arial"/>
          <w:b/>
          <w:bCs/>
          <w:color w:val="6D7175"/>
          <w:sz w:val="18"/>
          <w:szCs w:val="18"/>
        </w:rPr>
        <w:t xml:space="preserve">[Obligatoire] </w:t>
      </w:r>
      <w:r>
        <w:rPr>
          <w:rFonts w:ascii="Arial" w:cs="Arial" w:eastAsia="Arial" w:hAnsi="Arial"/>
          <w:color w:val="171A1C"/>
          <w:sz w:val="21"/>
          <w:szCs w:val="21"/>
        </w:rPr>
        <w:t xml:space="preserve">Le mémoire technique est limité à 30 pages, hors annexes. Les annexes comprennent le cycle de menus, les certificats fournisseurs et le plan de continuité.</w:t>
      </w:r>
    </w:p>
    <w:p>
      <w:pPr>
        <w:spacing w:after="140" w:before="0" w:line="276"/>
        <w:ind w:left="400"/>
        <w:jc w:val="both"/>
      </w:pPr>
      <w:r>
        <w:rPr>
          <w:rFonts w:ascii="Arial" w:cs="Arial" w:eastAsia="Arial" w:hAnsi="Arial"/>
          <w:i/>
          <w:iCs/>
          <w:color w:val="6D7175"/>
          <w:sz w:val="18"/>
          <w:szCs w:val="18"/>
        </w:rPr>
        <w:t xml:space="preserve">Preuve attendue : </w:t>
      </w:r>
      <w:r>
        <w:rPr>
          <w:rFonts w:ascii="Arial" w:cs="Arial" w:eastAsia="Arial" w:hAnsi="Arial"/>
          <w:i/>
          <w:iCs/>
          <w:color w:val="6D7175"/>
          <w:sz w:val="18"/>
          <w:szCs w:val="18"/>
        </w:rPr>
        <w:t xml:space="preserve">Mémoire technique — Fréquence / délai : Contradiction volontaire avec le RC (40 pages) : l'agent doit signaler l'écart, pas trancher.</w:t>
      </w:r>
    </w:p>
    <w:p>
      <w:r>
        <w:br w:type="page"/>
      </w:r>
    </w:p>
    <w:p>
      <w:pPr>
        <w:pStyle w:val="Heading1"/>
        <w:keepNext/>
        <w:spacing w:after="160" w:before="360"/>
      </w:pPr>
      <w:r>
        <w:rPr>
          <w:rFonts w:ascii="Arial" w:cs="Arial" w:eastAsia="Arial" w:hAnsi="Arial"/>
          <w:b/>
          <w:bCs/>
          <w:color w:val="2E6071"/>
          <w:sz w:val="30"/>
          <w:szCs w:val="30"/>
        </w:rPr>
        <w:t xml:space="preserve">Annexe 1 — Liste des sites et volumes</w:t>
      </w:r>
    </w:p>
    <w:p>
      <w:pPr>
        <w:spacing w:after="120" w:before="0" w:line="276"/>
        <w:jc w:val="both"/>
      </w:pPr>
      <w:r>
        <w:rPr>
          <w:rFonts w:ascii="Arial" w:cs="Arial" w:eastAsia="Arial" w:hAnsi="Arial"/>
          <w:color w:val="171A1C"/>
          <w:sz w:val="21"/>
          <w:szCs w:val="21"/>
        </w:rPr>
        <w:t xml:space="preserve">Volumes indicatifs établis sur l'année scolaire 2025-2026. Les accueils de loisirs (ALSH) fonctionnent les mercredis et pendant les vacances scolaires.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1"/>
        <w:gridCol w:w="1843"/>
        <w:gridCol w:w="1559"/>
        <w:gridCol w:w="850"/>
        <w:gridCol w:w="1276"/>
        <w:gridCol w:w="2410"/>
      </w:tblGrid>
      <w:tr>
        <w:trPr>
          <w:tblHeader/>
        </w:trPr>
        <w:tc>
          <w:tcPr>
            <w:tcW w:type="dxa" w:w="1701"/>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Site</w:t>
            </w:r>
          </w:p>
        </w:tc>
        <w:tc>
          <w:tcPr>
            <w:tcW w:type="dxa" w:w="1843"/>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Type</w:t>
            </w:r>
          </w:p>
        </w:tc>
        <w:tc>
          <w:tcPr>
            <w:tcW w:type="dxa" w:w="1559"/>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Commune (fictive)</w:t>
            </w:r>
          </w:p>
        </w:tc>
        <w:tc>
          <w:tcPr>
            <w:tcW w:type="dxa" w:w="850"/>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Déjeuners / jour</w:t>
            </w:r>
          </w:p>
        </w:tc>
        <w:tc>
          <w:tcPr>
            <w:tcW w:type="dxa" w:w="1276"/>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Mode actuel</w:t>
            </w:r>
          </w:p>
        </w:tc>
        <w:tc>
          <w:tcPr>
            <w:tcW w:type="dxa" w:w="2410"/>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Observations</w:t>
            </w:r>
          </w:p>
        </w:tc>
      </w:tr>
      <w:tr>
        <w:tc>
          <w:tcPr>
            <w:tcW w:type="dxa" w:w="170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GS Les Amandiers</w:t>
            </w:r>
          </w:p>
        </w:tc>
        <w:tc>
          <w:tcPr>
            <w:tcW w:type="dxa" w:w="184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Groupe scolaire (mat. + élém.)</w:t>
            </w:r>
          </w:p>
        </w:tc>
        <w:tc>
          <w:tcPr>
            <w:tcW w:type="dxa" w:w="1559"/>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Aurine-Centre</w:t>
            </w:r>
          </w:p>
        </w:tc>
        <w:tc>
          <w:tcPr>
            <w:tcW w:type="dxa" w:w="85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520</w:t>
            </w:r>
          </w:p>
        </w:tc>
        <w:tc>
          <w:tcPr>
            <w:tcW w:type="dxa" w:w="1276"/>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Liaison froide</w:t>
            </w:r>
          </w:p>
        </w:tc>
        <w:tc>
          <w:tcPr>
            <w:tcW w:type="dxa" w:w="241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Office de réchauffage rénové en 2024</w:t>
            </w:r>
          </w:p>
        </w:tc>
      </w:tr>
      <w:tr>
        <w:tc>
          <w:tcPr>
            <w:tcW w:type="dxa" w:w="170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GS du Lac</w:t>
            </w:r>
          </w:p>
        </w:tc>
        <w:tc>
          <w:tcPr>
            <w:tcW w:type="dxa" w:w="184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Groupe scolaire (mat. + élém.)</w:t>
            </w:r>
          </w:p>
        </w:tc>
        <w:tc>
          <w:tcPr>
            <w:tcW w:type="dxa" w:w="1559"/>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Aurine-Centre</w:t>
            </w:r>
          </w:p>
        </w:tc>
        <w:tc>
          <w:tcPr>
            <w:tcW w:type="dxa" w:w="85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480</w:t>
            </w:r>
          </w:p>
        </w:tc>
        <w:tc>
          <w:tcPr>
            <w:tcW w:type="dxa" w:w="1276"/>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Liaison froide</w:t>
            </w:r>
          </w:p>
        </w:tc>
        <w:tc>
          <w:tcPr>
            <w:tcW w:type="dxa" w:w="241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Deux services ; salle de 180 places</w:t>
            </w:r>
          </w:p>
        </w:tc>
      </w:tr>
      <w:tr>
        <w:tc>
          <w:tcPr>
            <w:tcW w:type="dxa" w:w="170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GS Victor-Hugo</w:t>
            </w:r>
          </w:p>
        </w:tc>
        <w:tc>
          <w:tcPr>
            <w:tcW w:type="dxa" w:w="184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Groupe scolaire (mat. + élém.)</w:t>
            </w:r>
          </w:p>
        </w:tc>
        <w:tc>
          <w:tcPr>
            <w:tcW w:type="dxa" w:w="1559"/>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Saint-Cizy-d'Aurine</w:t>
            </w:r>
          </w:p>
        </w:tc>
        <w:tc>
          <w:tcPr>
            <w:tcW w:type="dxa" w:w="85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410</w:t>
            </w:r>
          </w:p>
        </w:tc>
        <w:tc>
          <w:tcPr>
            <w:tcW w:type="dxa" w:w="1276"/>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Cuisine sur place</w:t>
            </w:r>
          </w:p>
        </w:tc>
        <w:tc>
          <w:tcPr>
            <w:tcW w:type="dxa" w:w="241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Cuisine autonome, capacité 600 repas</w:t>
            </w:r>
          </w:p>
        </w:tc>
      </w:tr>
      <w:tr>
        <w:tc>
          <w:tcPr>
            <w:tcW w:type="dxa" w:w="170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GS Les Coteaux</w:t>
            </w:r>
          </w:p>
        </w:tc>
        <w:tc>
          <w:tcPr>
            <w:tcW w:type="dxa" w:w="184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Groupe scolaire (mat. + élém.)</w:t>
            </w:r>
          </w:p>
        </w:tc>
        <w:tc>
          <w:tcPr>
            <w:tcW w:type="dxa" w:w="1559"/>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Les Coteaux-d'Aurine</w:t>
            </w:r>
          </w:p>
        </w:tc>
        <w:tc>
          <w:tcPr>
            <w:tcW w:type="dxa" w:w="85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395</w:t>
            </w:r>
          </w:p>
        </w:tc>
        <w:tc>
          <w:tcPr>
            <w:tcW w:type="dxa" w:w="1276"/>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Liaison froide</w:t>
            </w:r>
          </w:p>
        </w:tc>
        <w:tc>
          <w:tcPr>
            <w:tcW w:type="dxa" w:w="241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Self à partir du CE1</w:t>
            </w:r>
          </w:p>
        </w:tc>
      </w:tr>
      <w:tr>
        <w:tc>
          <w:tcPr>
            <w:tcW w:type="dxa" w:w="170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GS La Prairie</w:t>
            </w:r>
          </w:p>
        </w:tc>
        <w:tc>
          <w:tcPr>
            <w:tcW w:type="dxa" w:w="184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Groupe scolaire (mat. + élém.)</w:t>
            </w:r>
          </w:p>
        </w:tc>
        <w:tc>
          <w:tcPr>
            <w:tcW w:type="dxa" w:w="1559"/>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Montaurine</w:t>
            </w:r>
          </w:p>
        </w:tc>
        <w:tc>
          <w:tcPr>
            <w:tcW w:type="dxa" w:w="85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365</w:t>
            </w:r>
          </w:p>
        </w:tc>
        <w:tc>
          <w:tcPr>
            <w:tcW w:type="dxa" w:w="1276"/>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Liaison froide</w:t>
            </w:r>
          </w:p>
        </w:tc>
        <w:tc>
          <w:tcPr>
            <w:tcW w:type="dxa" w:w="241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Salle exiguë : trois services</w:t>
            </w:r>
          </w:p>
        </w:tc>
      </w:tr>
      <w:tr>
        <w:tc>
          <w:tcPr>
            <w:tcW w:type="dxa" w:w="170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GS du Parc-Neuf</w:t>
            </w:r>
          </w:p>
        </w:tc>
        <w:tc>
          <w:tcPr>
            <w:tcW w:type="dxa" w:w="184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Groupe scolaire (mat. + élém.)</w:t>
            </w:r>
          </w:p>
        </w:tc>
        <w:tc>
          <w:tcPr>
            <w:tcW w:type="dxa" w:w="1559"/>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Aurine-Centre</w:t>
            </w:r>
          </w:p>
        </w:tc>
        <w:tc>
          <w:tcPr>
            <w:tcW w:type="dxa" w:w="85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280</w:t>
            </w:r>
          </w:p>
        </w:tc>
        <w:tc>
          <w:tcPr>
            <w:tcW w:type="dxa" w:w="1276"/>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Liaison froide</w:t>
            </w:r>
          </w:p>
        </w:tc>
        <w:tc>
          <w:tcPr>
            <w:tcW w:type="dxa" w:w="241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Ouverture septembre 2025</w:t>
            </w:r>
          </w:p>
        </w:tc>
      </w:tr>
      <w:tr>
        <w:tc>
          <w:tcPr>
            <w:tcW w:type="dxa" w:w="170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ALSH Centre</w:t>
            </w:r>
          </w:p>
        </w:tc>
        <w:tc>
          <w:tcPr>
            <w:tcW w:type="dxa" w:w="184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Accueil de loisirs</w:t>
            </w:r>
          </w:p>
        </w:tc>
        <w:tc>
          <w:tcPr>
            <w:tcW w:type="dxa" w:w="1559"/>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Aurine-Centre</w:t>
            </w:r>
          </w:p>
        </w:tc>
        <w:tc>
          <w:tcPr>
            <w:tcW w:type="dxa" w:w="85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220</w:t>
            </w:r>
          </w:p>
        </w:tc>
        <w:tc>
          <w:tcPr>
            <w:tcW w:type="dxa" w:w="1276"/>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Liaison froide</w:t>
            </w:r>
          </w:p>
        </w:tc>
        <w:tc>
          <w:tcPr>
            <w:tcW w:type="dxa" w:w="241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Mercredis et vacances</w:t>
            </w:r>
          </w:p>
        </w:tc>
      </w:tr>
      <w:tr>
        <w:tc>
          <w:tcPr>
            <w:tcW w:type="dxa" w:w="170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ALSH Sud</w:t>
            </w:r>
          </w:p>
        </w:tc>
        <w:tc>
          <w:tcPr>
            <w:tcW w:type="dxa" w:w="184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Accueil de loisirs</w:t>
            </w:r>
          </w:p>
        </w:tc>
        <w:tc>
          <w:tcPr>
            <w:tcW w:type="dxa" w:w="1559"/>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Montaurine</w:t>
            </w:r>
          </w:p>
        </w:tc>
        <w:tc>
          <w:tcPr>
            <w:tcW w:type="dxa" w:w="85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160</w:t>
            </w:r>
          </w:p>
        </w:tc>
        <w:tc>
          <w:tcPr>
            <w:tcW w:type="dxa" w:w="1276"/>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Liaison froide</w:t>
            </w:r>
          </w:p>
        </w:tc>
        <w:tc>
          <w:tcPr>
            <w:tcW w:type="dxa" w:w="241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Mercredis et vacances</w:t>
            </w:r>
          </w:p>
        </w:tc>
      </w:tr>
    </w:tbl>
    <w:p>
      <w:pPr>
        <w:spacing w:after="120" w:before="120" w:line="276"/>
        <w:jc w:val="both"/>
      </w:pPr>
      <w:r>
        <w:rPr>
          <w:rFonts w:ascii="Arial" w:cs="Arial" w:eastAsia="Arial" w:hAnsi="Arial"/>
          <w:color w:val="171A1C"/>
          <w:sz w:val="21"/>
          <w:szCs w:val="21"/>
        </w:rPr>
        <w:t xml:space="preserve">Total : environ 2 450 déjeuners par jour scolaire et 380 déjeuners les mercredis et vacances, soit environ 390 000 repas par an (RC-A04).</w:t>
      </w:r>
    </w:p>
    <w:p>
      <w:pPr>
        <w:pStyle w:val="Heading1"/>
        <w:keepNext/>
        <w:spacing w:after="160" w:before="360"/>
      </w:pPr>
      <w:r>
        <w:rPr>
          <w:rFonts w:ascii="Arial" w:cs="Arial" w:eastAsia="Arial" w:hAnsi="Arial"/>
          <w:b/>
          <w:bCs/>
          <w:color w:val="2E6071"/>
          <w:sz w:val="30"/>
          <w:szCs w:val="30"/>
        </w:rPr>
        <w:t xml:space="preserve">Annexe 2 — Calendrier de la consultation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34"/>
        <w:gridCol w:w="3213"/>
        <w:gridCol w:w="3391"/>
      </w:tblGrid>
      <w:tr>
        <w:trPr>
          <w:tblHeader/>
        </w:trPr>
        <w:tc>
          <w:tcPr>
            <w:tcW w:type="dxa" w:w="3034"/>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Étape</w:t>
            </w:r>
          </w:p>
        </w:tc>
        <w:tc>
          <w:tcPr>
            <w:tcW w:type="dxa" w:w="3213"/>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Date</w:t>
            </w:r>
          </w:p>
        </w:tc>
        <w:tc>
          <w:tcPr>
            <w:tcW w:type="dxa" w:w="3391"/>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Précision</w:t>
            </w:r>
          </w:p>
        </w:tc>
      </w:tr>
      <w:tr>
        <w:tc>
          <w:tcPr>
            <w:tcW w:type="dxa" w:w="303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Publication de l'avis</w:t>
            </w:r>
          </w:p>
        </w:tc>
        <w:tc>
          <w:tcPr>
            <w:tcW w:type="dxa" w:w="321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Lundi 2 novembre 2026</w:t>
            </w:r>
          </w:p>
        </w:tc>
        <w:tc>
          <w:tcPr>
            <w:tcW w:type="dxa" w:w="33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Profil d'acheteur</w:t>
            </w:r>
          </w:p>
        </w:tc>
      </w:tr>
      <w:tr>
        <w:tc>
          <w:tcPr>
            <w:tcW w:type="dxa" w:w="303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Visites de site (recommandées)</w:t>
            </w:r>
          </w:p>
        </w:tc>
        <w:tc>
          <w:tcPr>
            <w:tcW w:type="dxa" w:w="321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Mardi 24 novembre et mardi 1er décembre 2026</w:t>
            </w:r>
          </w:p>
        </w:tc>
        <w:tc>
          <w:tcPr>
            <w:tcW w:type="dxa" w:w="339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Sur inscription, 9 h – 12 h</w:t>
            </w:r>
          </w:p>
        </w:tc>
      </w:tr>
      <w:tr>
        <w:tc>
          <w:tcPr>
            <w:tcW w:type="dxa" w:w="303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Date limite des questions</w:t>
            </w:r>
          </w:p>
        </w:tc>
        <w:tc>
          <w:tcPr>
            <w:tcW w:type="dxa" w:w="321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Vendredi 18 décembre 2026</w:t>
            </w:r>
          </w:p>
        </w:tc>
        <w:tc>
          <w:tcPr>
            <w:tcW w:type="dxa" w:w="33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Réponses à tous les candidats</w:t>
            </w:r>
          </w:p>
        </w:tc>
      </w:tr>
      <w:tr>
        <w:tc>
          <w:tcPr>
            <w:tcW w:type="dxa" w:w="303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Date limite de remise des offres</w:t>
            </w:r>
          </w:p>
        </w:tc>
        <w:tc>
          <w:tcPr>
            <w:tcW w:type="dxa" w:w="321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Vendredi 8 janvier 2027, 12 h 00</w:t>
            </w:r>
          </w:p>
        </w:tc>
        <w:tc>
          <w:tcPr>
            <w:tcW w:type="dxa" w:w="339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Dépôt dématérialisé</w:t>
            </w:r>
          </w:p>
        </w:tc>
      </w:tr>
      <w:tr>
        <w:tc>
          <w:tcPr>
            <w:tcW w:type="dxa" w:w="303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Analyse des offres</w:t>
            </w:r>
          </w:p>
        </w:tc>
        <w:tc>
          <w:tcPr>
            <w:tcW w:type="dxa" w:w="321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Janvier – février 2027</w:t>
            </w:r>
          </w:p>
        </w:tc>
        <w:tc>
          <w:tcPr>
            <w:tcW w:type="dxa" w:w="33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Commission d'appel d'offres</w:t>
            </w:r>
          </w:p>
        </w:tc>
      </w:tr>
      <w:tr>
        <w:tc>
          <w:tcPr>
            <w:tcW w:type="dxa" w:w="303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Notification</w:t>
            </w:r>
          </w:p>
        </w:tc>
        <w:tc>
          <w:tcPr>
            <w:tcW w:type="dxa" w:w="321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Mars 2027</w:t>
            </w:r>
          </w:p>
        </w:tc>
        <w:tc>
          <w:tcPr>
            <w:tcW w:type="dxa" w:w="339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Délai de validité des offres : 120 jours</w:t>
            </w:r>
          </w:p>
        </w:tc>
      </w:tr>
      <w:tr>
        <w:tc>
          <w:tcPr>
            <w:tcW w:type="dxa" w:w="3034"/>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Période de préparation</w:t>
            </w:r>
          </w:p>
        </w:tc>
        <w:tc>
          <w:tcPr>
            <w:tcW w:type="dxa" w:w="3213"/>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Juillet – août 2027</w:t>
            </w:r>
          </w:p>
        </w:tc>
        <w:tc>
          <w:tcPr>
            <w:tcW w:type="dxa" w:w="339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Deux mois</w:t>
            </w:r>
          </w:p>
        </w:tc>
      </w:tr>
      <w:tr>
        <w:tc>
          <w:tcPr>
            <w:tcW w:type="dxa" w:w="3034"/>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Démarrage des prestations</w:t>
            </w:r>
          </w:p>
        </w:tc>
        <w:tc>
          <w:tcPr>
            <w:tcW w:type="dxa" w:w="3213"/>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Mercredi 1er septembre 2027</w:t>
            </w:r>
          </w:p>
        </w:tc>
        <w:tc>
          <w:tcPr>
            <w:tcW w:type="dxa" w:w="339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Rentrée scolaire</w:t>
            </w:r>
          </w:p>
        </w:tc>
      </w:tr>
    </w:tbl>
    <w:p>
      <w:pPr>
        <w:pStyle w:val="Heading1"/>
        <w:keepNext/>
        <w:spacing w:after="160" w:before="360"/>
      </w:pPr>
      <w:r>
        <w:rPr>
          <w:rFonts w:ascii="Arial" w:cs="Arial" w:eastAsia="Arial" w:hAnsi="Arial"/>
          <w:b/>
          <w:bCs/>
          <w:color w:val="2E6071"/>
          <w:sz w:val="30"/>
          <w:szCs w:val="30"/>
        </w:rPr>
        <w:t xml:space="preserve">Annexe 3 — Cadre de réponse du mémoire technique</w:t>
      </w:r>
    </w:p>
    <w:p>
      <w:pPr>
        <w:spacing w:after="120" w:before="0" w:line="276"/>
        <w:jc w:val="both"/>
      </w:pPr>
      <w:r>
        <w:rPr>
          <w:rFonts w:ascii="Arial" w:cs="Arial" w:eastAsia="Arial" w:hAnsi="Arial"/>
          <w:color w:val="171A1C"/>
          <w:sz w:val="21"/>
          <w:szCs w:val="21"/>
        </w:rPr>
        <w:t xml:space="preserve">Le mémoire technique suit le plan ci-dessous. Chaque section renvoie aux sous-critères de l'article 5 du RC. Les annexes (cycle de menus, certificats, plan de continuité) ne sont pas comptées dans la limite de pages.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5397"/>
        <w:gridCol w:w="1735"/>
      </w:tblGrid>
      <w:tr>
        <w:trPr>
          <w:tblHeader/>
        </w:trPr>
        <w:tc>
          <w:tcPr>
            <w:tcW w:type="dxa" w:w="2506"/>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Section</w:t>
            </w:r>
          </w:p>
        </w:tc>
        <w:tc>
          <w:tcPr>
            <w:tcW w:type="dxa" w:w="5397"/>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Contenu attendu</w:t>
            </w:r>
          </w:p>
        </w:tc>
        <w:tc>
          <w:tcPr>
            <w:tcW w:type="dxa" w:w="1735"/>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Sous-critère</w:t>
            </w:r>
          </w:p>
        </w:tc>
      </w:tr>
      <w:tr>
        <w:tc>
          <w:tcPr>
            <w:tcW w:type="dxa" w:w="2506"/>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1. Organisation et continuité</w:t>
            </w:r>
          </w:p>
        </w:tc>
        <w:tc>
          <w:tcPr>
            <w:tcW w:type="dxa" w:w="539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Mode de production, effectifs par site, remplacements, plan de continuité, rapport du dernier test</w:t>
            </w:r>
          </w:p>
        </w:tc>
        <w:tc>
          <w:tcPr>
            <w:tcW w:type="dxa" w:w="173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Continuité (15 %)</w:t>
            </w:r>
          </w:p>
        </w:tc>
      </w:tr>
      <w:tr>
        <w:tc>
          <w:tcPr>
            <w:tcW w:type="dxa" w:w="2506"/>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2. Menus et qualité nutritionnelle</w:t>
            </w:r>
          </w:p>
        </w:tc>
        <w:tc>
          <w:tcPr>
            <w:tcW w:type="dxa" w:w="539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Cycle 8 semaines, respect des fréquences, menu végétarien hebdomadaire, méthode de test convives, deux semaines de menus commentées</w:t>
            </w:r>
          </w:p>
        </w:tc>
        <w:tc>
          <w:tcPr>
            <w:tcW w:type="dxa" w:w="173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Menus (12 %)</w:t>
            </w:r>
          </w:p>
        </w:tc>
      </w:tr>
      <w:tr>
        <w:tc>
          <w:tcPr>
            <w:tcW w:type="dxa" w:w="2506"/>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3. Relation usagers</w:t>
            </w:r>
          </w:p>
        </w:tc>
        <w:tc>
          <w:tcPr>
            <w:tcW w:type="dxa" w:w="539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Point d'entrée unique, délais, escalade des cas sensibles, exemple de synthèse trimestrielle</w:t>
            </w:r>
          </w:p>
        </w:tc>
        <w:tc>
          <w:tcPr>
            <w:tcW w:type="dxa" w:w="173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Relation (8 %)</w:t>
            </w:r>
          </w:p>
        </w:tc>
      </w:tr>
      <w:tr>
        <w:tc>
          <w:tcPr>
            <w:tcW w:type="dxa" w:w="2506"/>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4. Pilotage par les données</w:t>
            </w:r>
          </w:p>
        </w:tc>
        <w:tc>
          <w:tcPr>
            <w:tcW w:type="dxa" w:w="539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Modèle de tableau de bord, dictionnaire des indicateurs, gouvernance et revue trimestrielle</w:t>
            </w:r>
          </w:p>
        </w:tc>
        <w:tc>
          <w:tcPr>
            <w:tcW w:type="dxa" w:w="173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Données (10 %)</w:t>
            </w:r>
          </w:p>
        </w:tc>
      </w:tr>
      <w:tr>
        <w:tc>
          <w:tcPr>
            <w:tcW w:type="dxa" w:w="2506"/>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5. Approvisionnements</w:t>
            </w:r>
          </w:p>
        </w:tc>
        <w:tc>
          <w:tcPr>
            <w:tcW w:type="dxa" w:w="539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Parts durable et bio (valeur), trajectoire, certificats fournisseurs, origine des viandes, part locale</w:t>
            </w:r>
          </w:p>
        </w:tc>
        <w:tc>
          <w:tcPr>
            <w:tcW w:type="dxa" w:w="173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Approvisionnements (8 %)</w:t>
            </w:r>
          </w:p>
        </w:tc>
      </w:tr>
      <w:tr>
        <w:tc>
          <w:tcPr>
            <w:tcW w:type="dxa" w:w="2506"/>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6. Gaspillage</w:t>
            </w:r>
          </w:p>
        </w:tc>
        <w:tc>
          <w:tcPr>
            <w:tcW w:type="dxa" w:w="539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Diagnostic, méthode unique de pesée, cible chiffrée à 12 et 36 mois, plan de tests, dons</w:t>
            </w:r>
          </w:p>
        </w:tc>
        <w:tc>
          <w:tcPr>
            <w:tcW w:type="dxa" w:w="173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Gaspillage (7 %)</w:t>
            </w:r>
          </w:p>
        </w:tc>
      </w:tr>
      <w:tr>
        <w:tc>
          <w:tcPr>
            <w:tcW w:type="dxa" w:w="2506"/>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7. Engagements de service</w:t>
            </w:r>
          </w:p>
        </w:tc>
        <w:tc>
          <w:tcPr>
            <w:tcW w:type="dxa" w:w="539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SLA, pénalités acceptées, plan de progrès</w:t>
            </w:r>
          </w:p>
        </w:tc>
        <w:tc>
          <w:tcPr>
            <w:tcW w:type="dxa" w:w="173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Performance (10 %)</w:t>
            </w:r>
          </w:p>
        </w:tc>
      </w:tr>
    </w:tbl>
    <w:p>
      <w:pPr>
        <w:pStyle w:val="Heading1"/>
        <w:keepNext/>
        <w:spacing w:after="160" w:before="360"/>
      </w:pPr>
      <w:r>
        <w:rPr>
          <w:rFonts w:ascii="Arial" w:cs="Arial" w:eastAsia="Arial" w:hAnsi="Arial"/>
          <w:b/>
          <w:bCs/>
          <w:color w:val="2E6071"/>
          <w:sz w:val="30"/>
          <w:szCs w:val="30"/>
        </w:rPr>
        <w:t xml:space="preserve">Annexe 4 — Modèle de tableau de bord mensuel</w:t>
      </w:r>
    </w:p>
    <w:p>
      <w:pPr>
        <w:spacing w:after="120" w:before="0" w:line="276"/>
        <w:jc w:val="both"/>
      </w:pPr>
      <w:r>
        <w:rPr>
          <w:rFonts w:ascii="Arial" w:cs="Arial" w:eastAsia="Arial" w:hAnsi="Arial"/>
          <w:color w:val="171A1C"/>
          <w:sz w:val="21"/>
          <w:szCs w:val="21"/>
        </w:rPr>
        <w:t xml:space="preserve">Indicateurs à transmettre par site avant le 10 du mois suivant (CCTP-10.1), dans un format ouvert accompagné d'un dictionnaire des indicateurs (CCTP-10.2).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4241"/>
        <w:gridCol w:w="1157"/>
        <w:gridCol w:w="2120"/>
      </w:tblGrid>
      <w:tr>
        <w:trPr>
          <w:tblHeader/>
        </w:trPr>
        <w:tc>
          <w:tcPr>
            <w:tcW w:type="dxa" w:w="2120"/>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Indicateur</w:t>
            </w:r>
          </w:p>
        </w:tc>
        <w:tc>
          <w:tcPr>
            <w:tcW w:type="dxa" w:w="4241"/>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Définition</w:t>
            </w:r>
          </w:p>
        </w:tc>
        <w:tc>
          <w:tcPr>
            <w:tcW w:type="dxa" w:w="1157"/>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Unité</w:t>
            </w:r>
          </w:p>
        </w:tc>
        <w:tc>
          <w:tcPr>
            <w:tcW w:type="dxa" w:w="2120"/>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Source attendue</w:t>
            </w:r>
          </w:p>
        </w:tc>
      </w:tr>
      <w:tr>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Repas servis</w:t>
            </w:r>
          </w:p>
        </w:tc>
        <w:tc>
          <w:tcPr>
            <w:tcW w:type="dxa" w:w="424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Nombre de déjeuners effectivement servis</w:t>
            </w:r>
          </w:p>
        </w:tc>
        <w:tc>
          <w:tcPr>
            <w:tcW w:type="dxa" w:w="115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nombre</w:t>
            </w:r>
          </w:p>
        </w:tc>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Pointage quotidien</w:t>
            </w:r>
          </w:p>
        </w:tc>
      </w:tr>
      <w:tr>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Taux de fréquentation</w:t>
            </w:r>
          </w:p>
        </w:tc>
        <w:tc>
          <w:tcPr>
            <w:tcW w:type="dxa" w:w="424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Repas servis / repas prévus (inscriptions)</w:t>
            </w:r>
          </w:p>
        </w:tc>
        <w:tc>
          <w:tcPr>
            <w:tcW w:type="dxa" w:w="115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w:t>
            </w:r>
          </w:p>
        </w:tc>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Pointage et inscriptions</w:t>
            </w:r>
          </w:p>
        </w:tc>
      </w:tr>
      <w:tr>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Restes par convive</w:t>
            </w:r>
          </w:p>
        </w:tc>
        <w:tc>
          <w:tcPr>
            <w:tcW w:type="dxa" w:w="424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Restes du plat principal (assiettes + bacs non servis) rapportés au nombre de convives</w:t>
            </w:r>
          </w:p>
        </w:tc>
        <w:tc>
          <w:tcPr>
            <w:tcW w:type="dxa" w:w="115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g/convive</w:t>
            </w:r>
          </w:p>
        </w:tc>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Pesées selon méthode unique</w:t>
            </w:r>
          </w:p>
        </w:tc>
      </w:tr>
      <w:tr>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Part durable et de qualité</w:t>
            </w:r>
          </w:p>
        </w:tc>
        <w:tc>
          <w:tcPr>
            <w:tcW w:type="dxa" w:w="424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Valeur des achats répondant aux critères EGAlim / valeur totale</w:t>
            </w:r>
          </w:p>
        </w:tc>
        <w:tc>
          <w:tcPr>
            <w:tcW w:type="dxa" w:w="115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w:t>
            </w:r>
          </w:p>
        </w:tc>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Achats</w:t>
            </w:r>
          </w:p>
        </w:tc>
      </w:tr>
      <w:tr>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Part bio</w:t>
            </w:r>
          </w:p>
        </w:tc>
        <w:tc>
          <w:tcPr>
            <w:tcW w:type="dxa" w:w="424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Valeur des achats issus de l'agriculture biologique / valeur totale</w:t>
            </w:r>
          </w:p>
        </w:tc>
        <w:tc>
          <w:tcPr>
            <w:tcW w:type="dxa" w:w="115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w:t>
            </w:r>
          </w:p>
        </w:tc>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Achats</w:t>
            </w:r>
          </w:p>
        </w:tc>
      </w:tr>
      <w:tr>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Réclamations par thème</w:t>
            </w:r>
          </w:p>
        </w:tc>
        <w:tc>
          <w:tcPr>
            <w:tcW w:type="dxa" w:w="424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Nombre de réclamations reçues, ventilées par thème</w:t>
            </w:r>
          </w:p>
        </w:tc>
        <w:tc>
          <w:tcPr>
            <w:tcW w:type="dxa" w:w="115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nombre</w:t>
            </w:r>
          </w:p>
        </w:tc>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Registre des réclamations</w:t>
            </w:r>
          </w:p>
        </w:tc>
      </w:tr>
      <w:tr>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Délai moyen de réponse</w:t>
            </w:r>
          </w:p>
        </w:tc>
        <w:tc>
          <w:tcPr>
            <w:tcW w:type="dxa" w:w="424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Délai entre réception et réponse validée</w:t>
            </w:r>
          </w:p>
        </w:tc>
        <w:tc>
          <w:tcPr>
            <w:tcW w:type="dxa" w:w="1157"/>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jours</w:t>
            </w:r>
          </w:p>
        </w:tc>
        <w:tc>
          <w:tcPr>
            <w:tcW w:type="dxa" w:w="2120"/>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Registre des réclamations</w:t>
            </w:r>
          </w:p>
        </w:tc>
      </w:tr>
      <w:tr>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Incidents</w:t>
            </w:r>
          </w:p>
        </w:tc>
        <w:tc>
          <w:tcPr>
            <w:tcW w:type="dxa" w:w="424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Incidents sanitaires ou de service déclarés</w:t>
            </w:r>
          </w:p>
        </w:tc>
        <w:tc>
          <w:tcPr>
            <w:tcW w:type="dxa" w:w="1157"/>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nombre</w:t>
            </w:r>
          </w:p>
        </w:tc>
        <w:tc>
          <w:tcPr>
            <w:tcW w:type="dxa" w:w="2120"/>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8"/>
                <w:szCs w:val="18"/>
              </w:rPr>
              <w:t xml:space="preserve">Registre des incidents</w:t>
            </w:r>
          </w:p>
        </w:tc>
      </w:tr>
    </w:tbl>
    <w:p>
      <w:pPr>
        <w:pStyle w:val="Heading1"/>
        <w:keepNext/>
        <w:spacing w:after="160" w:before="360"/>
      </w:pPr>
      <w:r>
        <w:rPr>
          <w:rFonts w:ascii="Arial" w:cs="Arial" w:eastAsia="Arial" w:hAnsi="Arial"/>
          <w:b/>
          <w:bCs/>
          <w:color w:val="2E6071"/>
          <w:sz w:val="30"/>
          <w:szCs w:val="30"/>
        </w:rPr>
        <w:t xml:space="preserve">Annexe 5 — Rappel simplifié des fréquences nutritionnelles</w:t>
      </w:r>
    </w:p>
    <w:p>
      <w:pPr>
        <w:spacing w:after="120" w:before="0" w:line="276"/>
        <w:jc w:val="both"/>
      </w:pPr>
      <w:r>
        <w:rPr>
          <w:rFonts w:ascii="Arial" w:cs="Arial" w:eastAsia="Arial" w:hAnsi="Arial"/>
          <w:color w:val="171A1C"/>
          <w:sz w:val="21"/>
          <w:szCs w:val="21"/>
        </w:rPr>
        <w:t xml:space="preserve">Rappel indicatif, sur 20 repas consécutifs, des principales fréquences fixées par l'arrêté du 30 septembre 2011 relatif à la qualité nutritionnelle des repas servis dans le cadre de la restauration scolaire. En cas de doute, seul le texte en vigueur fait foi ; ce rappel est donné pour permettre aux étudiants de contrôler un menu proposé.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52"/>
        <w:gridCol w:w="2461"/>
        <w:gridCol w:w="1025"/>
      </w:tblGrid>
      <w:tr>
        <w:trPr>
          <w:tblHeader/>
        </w:trPr>
        <w:tc>
          <w:tcPr>
            <w:tcW w:type="dxa" w:w="6152"/>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Composante</w:t>
            </w:r>
          </w:p>
        </w:tc>
        <w:tc>
          <w:tcPr>
            <w:tcW w:type="dxa" w:w="2461"/>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Fréquence sur 20 repas</w:t>
            </w:r>
          </w:p>
        </w:tc>
        <w:tc>
          <w:tcPr>
            <w:tcW w:type="dxa" w:w="1025"/>
            <w:tcBorders>
              <w:top w:val="single" w:color="D7DBDE" w:sz="4"/>
              <w:left w:val="single" w:color="D7DBDE" w:sz="4"/>
              <w:bottom w:val="single" w:color="D7DBDE" w:sz="4"/>
              <w:right w:val="single" w:color="D7DBDE" w:sz="4"/>
            </w:tcBorders>
            <w:shd w:fill="2E6071" w:color="auto" w:val="clear"/>
            <w:tcMar>
              <w:top w:type="dxa" w:w="60"/>
              <w:left w:type="dxa" w:w="90"/>
              <w:bottom w:type="dxa" w:w="60"/>
              <w:right w:type="dxa" w:w="90"/>
            </w:tcMar>
            <w:vAlign w:val="top"/>
          </w:tcPr>
          <w:p>
            <w:pPr>
              <w:spacing w:after="40" w:line="252"/>
              <w:jc w:val="left"/>
            </w:pPr>
            <w:r>
              <w:rPr>
                <w:rFonts w:ascii="Arial" w:cs="Arial" w:eastAsia="Arial" w:hAnsi="Arial"/>
                <w:b/>
                <w:bCs/>
                <w:color w:val="FFFFFF"/>
                <w:sz w:val="18"/>
                <w:szCs w:val="18"/>
              </w:rPr>
              <w:t xml:space="preserve">Sens</w:t>
            </w:r>
          </w:p>
        </w:tc>
      </w:tr>
      <w:tr>
        <w:tc>
          <w:tcPr>
            <w:tcW w:type="dxa" w:w="615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Entrées contenant plus de 15 % de lipides</w:t>
            </w:r>
          </w:p>
        </w:tc>
        <w:tc>
          <w:tcPr>
            <w:tcW w:type="dxa" w:w="246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4 maximum</w:t>
            </w:r>
          </w:p>
        </w:tc>
        <w:tc>
          <w:tcPr>
            <w:tcW w:type="dxa" w:w="102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Crudités de légumes ou de fruits</w:t>
            </w:r>
          </w:p>
        </w:tc>
        <w:tc>
          <w:tcPr>
            <w:tcW w:type="dxa" w:w="246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10 minimum</w:t>
            </w:r>
          </w:p>
        </w:tc>
        <w:tc>
          <w:tcPr>
            <w:tcW w:type="dxa" w:w="102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Produits à frire ou pré-frits contenant plus de 15 % de lipides</w:t>
            </w:r>
          </w:p>
        </w:tc>
        <w:tc>
          <w:tcPr>
            <w:tcW w:type="dxa" w:w="246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4 maximum</w:t>
            </w:r>
          </w:p>
        </w:tc>
        <w:tc>
          <w:tcPr>
            <w:tcW w:type="dxa" w:w="102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Plats protidiques dont le rapport protéines / lipides est ≤ 1</w:t>
            </w:r>
          </w:p>
        </w:tc>
        <w:tc>
          <w:tcPr>
            <w:tcW w:type="dxa" w:w="246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2 maximum</w:t>
            </w:r>
          </w:p>
        </w:tc>
        <w:tc>
          <w:tcPr>
            <w:tcW w:type="dxa" w:w="102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Poissons ou préparations contenant au moins 70 % de poisson (P/L ≥ 2)</w:t>
            </w:r>
          </w:p>
        </w:tc>
        <w:tc>
          <w:tcPr>
            <w:tcW w:type="dxa" w:w="246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4 minimum</w:t>
            </w:r>
          </w:p>
        </w:tc>
        <w:tc>
          <w:tcPr>
            <w:tcW w:type="dxa" w:w="102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Viandes non hachées de bœuf, veau, agneau ou abats</w:t>
            </w:r>
          </w:p>
        </w:tc>
        <w:tc>
          <w:tcPr>
            <w:tcW w:type="dxa" w:w="246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4 minimum</w:t>
            </w:r>
          </w:p>
        </w:tc>
        <w:tc>
          <w:tcPr>
            <w:tcW w:type="dxa" w:w="102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Préparations à base de viande, poisson ou œuf contenant moins de 70 % du grammage recommandé</w:t>
            </w:r>
          </w:p>
        </w:tc>
        <w:tc>
          <w:tcPr>
            <w:tcW w:type="dxa" w:w="246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3 maximum</w:t>
            </w:r>
          </w:p>
        </w:tc>
        <w:tc>
          <w:tcPr>
            <w:tcW w:type="dxa" w:w="102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Légumes cuits (autres que secs) en garniture</w:t>
            </w:r>
          </w:p>
        </w:tc>
        <w:tc>
          <w:tcPr>
            <w:tcW w:type="dxa" w:w="246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10 minimum</w:t>
            </w:r>
          </w:p>
        </w:tc>
        <w:tc>
          <w:tcPr>
            <w:tcW w:type="dxa" w:w="102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Légumes secs, féculents ou céréales en garniture</w:t>
            </w:r>
          </w:p>
        </w:tc>
        <w:tc>
          <w:tcPr>
            <w:tcW w:type="dxa" w:w="246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10 minimum</w:t>
            </w:r>
          </w:p>
        </w:tc>
        <w:tc>
          <w:tcPr>
            <w:tcW w:type="dxa" w:w="102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Fromages contenant au moins 150 mg de calcium par portion</w:t>
            </w:r>
          </w:p>
        </w:tc>
        <w:tc>
          <w:tcPr>
            <w:tcW w:type="dxa" w:w="246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8 minimum</w:t>
            </w:r>
          </w:p>
        </w:tc>
        <w:tc>
          <w:tcPr>
            <w:tcW w:type="dxa" w:w="102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Desserts contenant plus de 15 % de lipides</w:t>
            </w:r>
          </w:p>
        </w:tc>
        <w:tc>
          <w:tcPr>
            <w:tcW w:type="dxa" w:w="246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3 maximum</w:t>
            </w:r>
          </w:p>
        </w:tc>
        <w:tc>
          <w:tcPr>
            <w:tcW w:type="dxa" w:w="102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Desserts contenant plus de 20 g de sucres simples et moins de 15 % de lipides</w:t>
            </w:r>
          </w:p>
        </w:tc>
        <w:tc>
          <w:tcPr>
            <w:tcW w:type="dxa" w:w="2461"/>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4 maximum</w:t>
            </w:r>
          </w:p>
        </w:tc>
        <w:tc>
          <w:tcPr>
            <w:tcW w:type="dxa" w:w="1025"/>
            <w:tcBorders>
              <w:top w:val="single" w:color="D7DBDE" w:sz="4"/>
              <w:left w:val="single" w:color="D7DBDE" w:sz="4"/>
              <w:bottom w:val="single" w:color="D7DBDE" w:sz="4"/>
              <w:right w:val="single" w:color="D7DBDE" w:sz="4"/>
            </w:tcBorders>
            <w:shd w:fill="F6F8F9" w:color="auto" w:val="clear"/>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r>
        <w:tc>
          <w:tcPr>
            <w:tcW w:type="dxa" w:w="6152"/>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Desserts de fruits crus (100 % fruit cru)</w:t>
            </w:r>
          </w:p>
        </w:tc>
        <w:tc>
          <w:tcPr>
            <w:tcW w:type="dxa" w:w="2461"/>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8 minimum</w:t>
            </w:r>
          </w:p>
        </w:tc>
        <w:tc>
          <w:tcPr>
            <w:tcW w:type="dxa" w:w="1025"/>
            <w:tcBorders>
              <w:top w:val="single" w:color="D7DBDE" w:sz="4"/>
              <w:left w:val="single" w:color="D7DBDE" w:sz="4"/>
              <w:bottom w:val="single" w:color="D7DBDE" w:sz="4"/>
              <w:right w:val="single" w:color="D7DBDE" w:sz="4"/>
            </w:tcBorders>
            <w:tcMar>
              <w:top w:type="dxa" w:w="60"/>
              <w:left w:type="dxa" w:w="90"/>
              <w:bottom w:type="dxa" w:w="60"/>
              <w:right w:type="dxa" w:w="90"/>
            </w:tcMar>
            <w:vAlign w:val="top"/>
          </w:tcPr>
          <w:p>
            <w:pPr>
              <w:spacing w:after="40" w:line="252"/>
              <w:jc w:val="left"/>
            </w:pPr>
            <w:r>
              <w:rPr>
                <w:rFonts w:ascii="Arial" w:cs="Arial" w:eastAsia="Arial" w:hAnsi="Arial"/>
                <w:color w:val="171A1C"/>
                <w:sz w:val="17"/>
                <w:szCs w:val="17"/>
              </w:rPr>
              <w:t xml:space="preserve">≥</w:t>
            </w:r>
          </w:p>
        </w:tc>
      </w:tr>
    </w:tbl>
    <w:p>
      <w:pPr>
        <w:spacing w:after="120" w:before="120" w:line="276"/>
        <w:jc w:val="both"/>
      </w:pPr>
      <w:r>
        <w:rPr>
          <w:rFonts w:ascii="Arial" w:cs="Arial" w:eastAsia="Arial" w:hAnsi="Arial"/>
          <w:color w:val="171A1C"/>
          <w:sz w:val="21"/>
          <w:szCs w:val="21"/>
        </w:rPr>
        <w:t xml:space="preserve">Par ailleurs, un menu végétarien est servi au moins une fois par semaine (CCTP-4.2) et les parts de produits durables et bio suivent les objectifs de la loi EGAlim (CCTP-3.1).</w:t>
      </w:r>
    </w:p>
    <w:sectPr>
      <w:headerReference w:type="default" r:id="rId9"/>
      <w:footerReference w:type="default" r:id="rId10"/>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D7175"/>
        <w:sz w:val="16"/>
        <w:szCs w:val="16"/>
      </w:rPr>
      <w:t xml:space="preserve">Cas GFI « Cap Marché 2027 » — ISTHIA / M1 MIRC — page </w:t>
    </w:r>
    <w:r>
      <w:rPr>
        <w:rFonts w:ascii="Arial" w:cs="Arial" w:eastAsia="Arial" w:hAnsi="Arial"/>
        <w:color w:val="6D7175"/>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D7175"/>
        <w:sz w:val="16"/>
        <w:szCs w:val="16"/>
      </w:rPr>
      <w:t xml:space="preserve">Cas GFI « Cap Marché 2027 » — ISTHIA / M1 MIRC — page </w:t>
    </w:r>
    <w:r>
      <w:rPr>
        <w:rFonts w:ascii="Arial" w:cs="Arial" w:eastAsia="Arial" w:hAnsi="Arial"/>
        <w:color w:val="6D71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BDE" w:sz="4" w:space="4"/>
      </w:pBdr>
      <w:jc w:val="right"/>
    </w:pPr>
    <w:r>
      <w:rPr>
        <w:rFonts w:ascii="Arial" w:cs="Arial" w:eastAsia="Arial" w:hAnsi="Arial"/>
        <w:color w:val="6D7175"/>
        <w:sz w:val="16"/>
        <w:szCs w:val="16"/>
      </w:rPr>
      <w:t xml:space="preserve">Val d'Aurine — Consultation 2026-RS-014 — DCE pédagogique (fictif)</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BDE" w:sz="4" w:space="4"/>
      </w:pBdr>
      <w:jc w:val="right"/>
    </w:pPr>
    <w:r>
      <w:rPr>
        <w:rFonts w:ascii="Arial" w:cs="Arial" w:eastAsia="Arial" w:hAnsi="Arial"/>
        <w:color w:val="6D7175"/>
        <w:sz w:val="16"/>
        <w:szCs w:val="16"/>
      </w:rPr>
      <w:t xml:space="preserve">Val d'Aurine — Consultation 2026-RS-014 — DCE pédagogique (fictif)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40"/>
      </w:pPr>
    </w:lvl>
    <w:lvl w:ilvl="1" w15:tentative="1">
      <w:start w:val="1"/>
      <w:numFmt w:val="bullet"/>
      <w:lvlText w:val="–"/>
      <w:lvlJc w:val="left"/>
      <w:pPr>
        <w:ind w:left="800" w:hanging="24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A1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DCE fictif Val d'Aurine</dc:title>
  <dc:creator>ISTHIA — Denis Bories</dc:creator>
  <cp:lastModifiedBy>Un-named</cp:lastModifiedBy>
  <cp:revision>1</cp:revision>
  <dcterms:created xsi:type="dcterms:W3CDTF">2026-09-23T07:18:48.612Z</dcterms:created>
  <dcterms:modified xsi:type="dcterms:W3CDTF">2026-09-23T07:18:48.624Z</dcterms:modified>
</cp:coreProperties>
</file>

<file path=docProps/custom.xml><?xml version="1.0" encoding="utf-8"?>
<Properties xmlns="http://schemas.openxmlformats.org/officeDocument/2006/custom-properties" xmlns:vt="http://schemas.openxmlformats.org/officeDocument/2006/docPropsVTypes"/>
</file>