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0F6E6E"/>
          <w:sz w:val="40"/>
          <w:szCs w:val="40"/>
        </w:rPr>
        <w:t xml:space="preserve">Corpus de départ 2026-2027</w:t>
      </w:r>
    </w:p>
    <w:p>
      <w:pPr>
        <w:spacing w:after="240"/>
      </w:pPr>
      <w:r>
        <w:rPr>
          <w:color w:val="555555"/>
          <w:sz w:val="24"/>
          <w:szCs w:val="24"/>
        </w:rPr>
        <w:t xml:space="preserve">Trente références vérifiées pour commencer — puis les vôtres.</w:t>
      </w:r>
    </w:p>
    <w:p>
      <w:pPr>
        <w:spacing w:after="120" w:line="276"/>
        <w:jc w:val="both"/>
      </w:pPr>
      <w:r>
        <w:t xml:space="preserve">Le corpus est un point de départ, pas une liste fermée. Chaque étudiant fiche </w:t>
      </w:r>
      <w:r>
        <w:rPr>
          <w:b/>
          <w:bCs/>
        </w:rPr>
        <w:t xml:space="preserve">un article du corpus</w:t>
      </w:r>
      <w:r>
        <w:t xml:space="preserve"> (attribué dans le groupe) et </w:t>
      </w:r>
      <w:r>
        <w:rPr>
          <w:b/>
          <w:bCs/>
        </w:rPr>
        <w:t xml:space="preserve">un article qu'il a trouvé lui-même</w:t>
      </w:r>
      <w:r>
        <w:t xml:space="preserve"> et que le groupe a validé. Le socle commun est lu par tous les groupes ; les articles de contexte, par le groupe concerné. Les références francophones sont des lectures complémentaires : elles montrent comment la recherche en marketing francophone traite les robots de service, et fournissent des formulations en français.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0F6E6E" w:sz="6"/>
              <w:left w:val="single" w:color="0F6E6E" w:sz="6"/>
              <w:bottom w:val="single" w:color="0F6E6E" w:sz="6"/>
              <w:right w:val="single" w:color="0F6E6E" w:sz="6"/>
            </w:tcBorders>
            <w:shd w:fill="EAF4F3" w:color="auto" w:val="clear"/>
            <w:tcMar>
              <w:top w:type="dxa" w:w="120"/>
              <w:left w:type="dxa" w:w="160"/>
              <w:bottom w:type="dxa" w:w="120"/>
              <w:right w:type="dxa" w:w="160"/>
            </w:tcMar>
          </w:tcPr>
          <w:p>
            <w:pPr>
              <w:spacing w:after="60"/>
            </w:pPr>
            <w:r>
              <w:rPr>
                <w:b/>
                <w:bCs/>
                <w:color w:val="0F6E6E"/>
              </w:rPr>
              <w:t xml:space="preserve">Accès</w:t>
            </w:r>
          </w:p>
          <w:p>
            <w:pPr>
              <w:spacing w:after="60" w:line="276"/>
            </w:pPr>
            <w:r>
              <w:rPr>
                <w:b/>
                <w:bCs/>
              </w:rPr>
              <w:t xml:space="preserve">OA</w:t>
            </w:r>
            <w:r>
              <w:t xml:space="preserve"> : accès ouvert, le lien DOI suffit. </w:t>
            </w:r>
            <w:r>
              <w:rPr>
                <w:b/>
                <w:bCs/>
              </w:rPr>
              <w:t xml:space="preserve">BU</w:t>
            </w:r>
            <w:r>
              <w:t xml:space="preserve"> : abonnement — passer par le portail de la bibliothèque universitaire avec vos identifiants. </w:t>
            </w:r>
            <w:r>
              <w:rPr>
                <w:b/>
                <w:bCs/>
              </w:rPr>
              <w:t xml:space="preserve">BU + dépôt</w:t>
            </w:r>
            <w:r>
              <w:t xml:space="preserve"> : abonnement, mais une version auteur est disponible librement (dépôt institutionnel, SSRN, PubMed Central) ; la chercher sur Google Scholar.</w:t>
            </w:r>
          </w:p>
          <w:p>
            <w:pPr>
              <w:spacing w:after="60" w:line="276"/>
            </w:pPr>
            <w:r>
              <w:t xml:space="preserve">Toutes les références ont été vérifiées le 6 septembre 2026 (DOI actifs).</w:t>
            </w:r>
          </w:p>
        </w:tc>
      </w:tr>
    </w:tbl>
    <w:p>
      <w:pPr>
        <w:spacing w:after="120"/>
      </w:pPr>
    </w:p>
    <w:p>
      <w:pPr>
        <w:pStyle w:val="Heading2"/>
        <w:spacing w:after="120" w:before="280"/>
      </w:pPr>
      <w:r>
        <w:t xml:space="preserve">Socle commun — lu par les trois groupes</w:t>
      </w:r>
    </w:p>
    <w:p>
      <w:pPr>
        <w:spacing w:after="120" w:line="276"/>
        <w:jc w:val="both"/>
      </w:pPr>
      <w:r>
        <w:t xml:space="preserve">Les modèles d'acceptation (TAM, UTAUT, AIDUA, sRAM), l'anthropomorphisme et la vallée de l'étrange, les risques perçus, la confiance. L'article S1 est l'article d'amorce de la séance 2.</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700"/>
        <w:gridCol w:w="4700"/>
        <w:gridCol w:w="900"/>
        <w:gridCol w:w="3338"/>
      </w:tblGrid>
      <w:tr>
        <w:trPr>
          <w:tblHeader/>
        </w:trPr>
        <w:tc>
          <w:tcPr>
            <w:tcW w:type="dxa" w:w="700"/>
            <w:shd w:fill="0F6E6E" w:color="auto" w:val="clear"/>
            <w:tcMar>
              <w:top w:type="dxa" w:w="60"/>
              <w:left w:type="dxa" w:w="80"/>
              <w:bottom w:type="dxa" w:w="60"/>
              <w:right w:type="dxa" w:w="80"/>
            </w:tcMar>
            <w:vAlign w:val="center"/>
          </w:tcPr>
          <w:p>
            <w:pPr>
              <w:spacing w:after="0"/>
            </w:pPr>
            <w:r>
              <w:rPr>
                <w:b/>
                <w:bCs/>
                <w:color w:val="FFFFFF"/>
                <w:sz w:val="20"/>
                <w:szCs w:val="20"/>
              </w:rPr>
              <w:t xml:space="preserve">N°</w:t>
            </w:r>
          </w:p>
        </w:tc>
        <w:tc>
          <w:tcPr>
            <w:tcW w:type="dxa" w:w="4700"/>
            <w:shd w:fill="0F6E6E" w:color="auto" w:val="clear"/>
            <w:tcMar>
              <w:top w:type="dxa" w:w="60"/>
              <w:left w:type="dxa" w:w="80"/>
              <w:bottom w:type="dxa" w:w="60"/>
              <w:right w:type="dxa" w:w="80"/>
            </w:tcMar>
            <w:vAlign w:val="center"/>
          </w:tcPr>
          <w:p>
            <w:pPr>
              <w:spacing w:after="0"/>
            </w:pPr>
            <w:r>
              <w:rPr>
                <w:b/>
                <w:bCs/>
                <w:color w:val="FFFFFF"/>
                <w:sz w:val="20"/>
                <w:szCs w:val="20"/>
              </w:rPr>
              <w:t xml:space="preserve">Référence</w:t>
            </w:r>
          </w:p>
        </w:tc>
        <w:tc>
          <w:tcPr>
            <w:tcW w:type="dxa" w:w="900"/>
            <w:shd w:fill="0F6E6E" w:color="auto" w:val="clear"/>
            <w:tcMar>
              <w:top w:type="dxa" w:w="60"/>
              <w:left w:type="dxa" w:w="80"/>
              <w:bottom w:type="dxa" w:w="60"/>
              <w:right w:type="dxa" w:w="80"/>
            </w:tcMar>
            <w:vAlign w:val="center"/>
          </w:tcPr>
          <w:p>
            <w:pPr>
              <w:spacing w:after="0"/>
            </w:pPr>
            <w:r>
              <w:rPr>
                <w:b/>
                <w:bCs/>
                <w:color w:val="FFFFFF"/>
                <w:sz w:val="20"/>
                <w:szCs w:val="20"/>
              </w:rPr>
              <w:t xml:space="preserve">Accès</w:t>
            </w:r>
          </w:p>
        </w:tc>
        <w:tc>
          <w:tcPr>
            <w:tcW w:type="dxa" w:w="3338"/>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l'article apporte (Y / X)</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S1</w:t>
            </w:r>
          </w:p>
        </w:tc>
        <w:tc>
          <w:tcPr>
            <w:tcW w:type="dxa" w:w="4700"/>
            <w:tcMar>
              <w:top w:type="dxa" w:w="60"/>
              <w:left w:type="dxa" w:w="80"/>
              <w:bottom w:type="dxa" w:w="60"/>
              <w:right w:type="dxa" w:w="80"/>
            </w:tcMar>
            <w:vAlign w:val="top"/>
          </w:tcPr>
          <w:p>
            <w:pPr>
              <w:spacing w:after="40"/>
              <w:jc w:val="left"/>
            </w:pPr>
            <w:r>
              <w:rPr>
                <w:sz w:val="17"/>
                <w:szCs w:val="17"/>
              </w:rPr>
              <w:t xml:space="preserve">Gursoy, D., Chi, O. H., Lu, L., &amp; Nunkoo, R. (2019). Consumers acceptance of artificially intelligent (AI) device use in service delivery. International Journal of Information Management, 49, 157-169.</w:t>
            </w:r>
          </w:p>
          <w:p>
            <w:pPr>
              <w:spacing w:after="40"/>
              <w:jc w:val="left"/>
            </w:pPr>
            <w:r>
              <w:rPr>
                <w:sz w:val="17"/>
                <w:szCs w:val="17"/>
              </w:rPr>
              <w:t xml:space="preserve">https://doi.org/10.1016/j.ijinfomgt.2019.03.008</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intention d'accepter (ou de refuser) un dispositif IA dans la rencontre de service ; X = modèle AIDUA en trois étapes : influence sociale, motivation hédonique et anthropomorphisme → attentes de performance et d'effort → émotions → acceptation. Article d'amorce de l'atelier.</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S2</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Wirtz, J., Patterson, P. G., Kunz, W. H., Gruber, T., Lu, V. N., Paluch, S., &amp; Martins, A. (2018). Brave new world: Service robots in the frontline. Journal of Service Management, 29(5), 907-931.</w:t>
            </w:r>
          </w:p>
          <w:p>
            <w:pPr>
              <w:spacing w:after="40"/>
              <w:jc w:val="left"/>
            </w:pPr>
            <w:r>
              <w:rPr>
                <w:sz w:val="17"/>
                <w:szCs w:val="17"/>
              </w:rPr>
              <w:t xml:space="preserve">https://doi.org/10.1108/JOSM-04-2018-0119</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OA</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Article conceptuel : modèle sRAM (service Robot Acceptance Model) — facteurs fonctionnels (utilité, facilité, normes), socio-émotionnels (présence sociale, humanité perçue) et relationnels (confiance, rapport).</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S3</w:t>
            </w:r>
          </w:p>
        </w:tc>
        <w:tc>
          <w:tcPr>
            <w:tcW w:type="dxa" w:w="4700"/>
            <w:tcMar>
              <w:top w:type="dxa" w:w="60"/>
              <w:left w:type="dxa" w:w="80"/>
              <w:bottom w:type="dxa" w:w="60"/>
              <w:right w:type="dxa" w:w="80"/>
            </w:tcMar>
            <w:vAlign w:val="top"/>
          </w:tcPr>
          <w:p>
            <w:pPr>
              <w:spacing w:after="40"/>
              <w:jc w:val="left"/>
            </w:pPr>
            <w:r>
              <w:rPr>
                <w:sz w:val="17"/>
                <w:szCs w:val="17"/>
              </w:rPr>
              <w:t xml:space="preserve">Blut, M., Wang, C., Wünderlich, N. V., &amp; Brock, C. (2021). Understanding anthropomorphism in service provision: A meta-analysis of physical robots, chatbots, and other AI. Journal of the Academy of Marketing Science, 49(4), 632-658.</w:t>
            </w:r>
          </w:p>
          <w:p>
            <w:pPr>
              <w:spacing w:after="40"/>
              <w:jc w:val="left"/>
            </w:pPr>
            <w:r>
              <w:rPr>
                <w:sz w:val="17"/>
                <w:szCs w:val="17"/>
              </w:rPr>
              <w:t xml:space="preserve">https://doi.org/10.1007/s11747-020-00762-y</w:t>
            </w:r>
          </w:p>
        </w:tc>
        <w:tc>
          <w:tcPr>
            <w:tcW w:type="dxa" w:w="900"/>
            <w:tcMar>
              <w:top w:type="dxa" w:w="60"/>
              <w:left w:type="dxa" w:w="80"/>
              <w:bottom w:type="dxa" w:w="60"/>
              <w:right w:type="dxa" w:w="80"/>
            </w:tcMar>
            <w:vAlign w:val="top"/>
          </w:tcPr>
          <w:p>
            <w:pPr>
              <w:spacing w:after="40"/>
              <w:jc w:val="left"/>
            </w:pPr>
            <w:r>
              <w:rPr>
                <w:sz w:val="17"/>
                <w:szCs w:val="17"/>
              </w:rPr>
              <w:t xml:space="preserve">OA</w:t>
            </w:r>
          </w:p>
        </w:tc>
        <w:tc>
          <w:tcPr>
            <w:tcW w:type="dxa" w:w="3338"/>
            <w:tcMar>
              <w:top w:type="dxa" w:w="60"/>
              <w:left w:type="dxa" w:w="80"/>
              <w:bottom w:type="dxa" w:w="60"/>
              <w:right w:type="dxa" w:w="80"/>
            </w:tcMar>
            <w:vAlign w:val="top"/>
          </w:tcPr>
          <w:p>
            <w:pPr>
              <w:spacing w:after="40"/>
              <w:jc w:val="left"/>
            </w:pPr>
            <w:r>
              <w:rPr>
                <w:sz w:val="17"/>
                <w:szCs w:val="17"/>
              </w:rPr>
              <w:t xml:space="preserve">Y = intention d'utiliser le robot ; X = anthropomorphisme, avec médiateurs (intelligence, sympathie, présence sociale, utilité, facilité, confiance…) — méta-analyse de 108 études (N = 11 053).</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S4</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Lin, H., Chi, O. H., &amp; Gursoy, D. (2020). Antecedents of customers' acceptance of artificially intelligent robotic device use in hospitality services. Journal of Hospitality Marketing &amp; Management, 29(5), 530-549.</w:t>
            </w:r>
          </w:p>
          <w:p>
            <w:pPr>
              <w:spacing w:after="40"/>
              <w:jc w:val="left"/>
            </w:pPr>
            <w:r>
              <w:rPr>
                <w:sz w:val="17"/>
                <w:szCs w:val="17"/>
              </w:rPr>
              <w:t xml:space="preserve">https://doi.org/10.1080/19368623.2020.1685053</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volonté d'accepter / objection à l'usage de robots IA en hôtel ; X = variables AIDUA, comparaison hôtels full-service vs limited-service.</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S5</w:t>
            </w:r>
          </w:p>
        </w:tc>
        <w:tc>
          <w:tcPr>
            <w:tcW w:type="dxa" w:w="4700"/>
            <w:tcMar>
              <w:top w:type="dxa" w:w="60"/>
              <w:left w:type="dxa" w:w="80"/>
              <w:bottom w:type="dxa" w:w="60"/>
              <w:right w:type="dxa" w:w="80"/>
            </w:tcMar>
            <w:vAlign w:val="top"/>
          </w:tcPr>
          <w:p>
            <w:pPr>
              <w:spacing w:after="40"/>
              <w:jc w:val="left"/>
            </w:pPr>
            <w:r>
              <w:rPr>
                <w:sz w:val="17"/>
                <w:szCs w:val="17"/>
              </w:rPr>
              <w:t xml:space="preserve">Lu, L., Cai, R., &amp; Gursoy, D. (2019). Developing and validating a service robot integration willingness scale. International Journal of Hospitality Management, 80, 36-51.</w:t>
            </w:r>
          </w:p>
          <w:p>
            <w:pPr>
              <w:spacing w:after="40"/>
              <w:jc w:val="left"/>
            </w:pPr>
            <w:r>
              <w:rPr>
                <w:sz w:val="17"/>
                <w:szCs w:val="17"/>
              </w:rPr>
              <w:t xml:space="preserve">https://doi.org/10.1016/j.ijhm.2019.01.005</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Construction et validation de l'échelle SRIW (36 items, 6 dimensions : efficacité, motivation intrinsèque, anthropomorphisme, influence sociale, conditions facilitatrices, émotions). Source d'items pour la séance 4.</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S6</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Mende, M., Scott, M. L., van Doorn, J., Grewal, D., &amp; Shanks, I. (2019). Service robots rising: How humanoid robots influence service experiences and elicit compensatory consumer responses. Journal of Marketing Research, 56(4), 535-556.</w:t>
            </w:r>
          </w:p>
          <w:p>
            <w:pPr>
              <w:spacing w:after="40"/>
              <w:jc w:val="left"/>
            </w:pPr>
            <w:r>
              <w:rPr>
                <w:sz w:val="17"/>
                <w:szCs w:val="17"/>
              </w:rPr>
              <w:t xml:space="preserve">https://doi.org/10.1177/0022243718822827</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 + dépôt</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réponses compensatoires du consommateur ; X = prestataire robot humanoïde vs humain, via l'inconfort (étrangeté) et la menace à l'identité humaine — expérimentations.</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S7</w:t>
            </w:r>
          </w:p>
        </w:tc>
        <w:tc>
          <w:tcPr>
            <w:tcW w:type="dxa" w:w="4700"/>
            <w:tcMar>
              <w:top w:type="dxa" w:w="60"/>
              <w:left w:type="dxa" w:w="80"/>
              <w:bottom w:type="dxa" w:w="60"/>
              <w:right w:type="dxa" w:w="80"/>
            </w:tcMar>
            <w:vAlign w:val="top"/>
          </w:tcPr>
          <w:p>
            <w:pPr>
              <w:spacing w:after="40"/>
              <w:jc w:val="left"/>
            </w:pPr>
            <w:r>
              <w:rPr>
                <w:sz w:val="17"/>
                <w:szCs w:val="17"/>
              </w:rPr>
              <w:t xml:space="preserve">Featherman, M. S., &amp; Pavlou, P. A. (2003). Predicting e-services adoption: A perceived risk facets perspective. International Journal of Human-Computer Studies, 59(4), 451-474.</w:t>
            </w:r>
          </w:p>
          <w:p>
            <w:pPr>
              <w:spacing w:after="40"/>
              <w:jc w:val="left"/>
            </w:pPr>
            <w:r>
              <w:rPr>
                <w:sz w:val="17"/>
                <w:szCs w:val="17"/>
              </w:rPr>
              <w:t xml:space="preserve">https://doi.org/10.1016/S1071-5819(03)00111-3</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intention d'adopter un e-service ; X = facettes du risque perçu (performance, financier, temps, psychologique, social, vie privée). Source des risques du modèle 2025-2026.</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S8</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Tussyadiah, I. P., Zach, F. J., &amp; Wang, J. (2020). Do travelers trust intelligent service robots? Annals of Tourism Research, 81, 102886.</w:t>
            </w:r>
          </w:p>
          <w:p>
            <w:pPr>
              <w:spacing w:after="40"/>
              <w:jc w:val="left"/>
            </w:pPr>
            <w:r>
              <w:rPr>
                <w:sz w:val="17"/>
                <w:szCs w:val="17"/>
              </w:rPr>
              <w:t xml:space="preserve">https://doi.org/10.1016/j.annals.2020.102886</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confiance envers le robot et intention d'adoption ; X = attitude envers la technologie, propension à faire confiance, forme physique du robot (sans effet).</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S9</w:t>
            </w:r>
          </w:p>
        </w:tc>
        <w:tc>
          <w:tcPr>
            <w:tcW w:type="dxa" w:w="4700"/>
            <w:tcMar>
              <w:top w:type="dxa" w:w="60"/>
              <w:left w:type="dxa" w:w="80"/>
              <w:bottom w:type="dxa" w:w="60"/>
              <w:right w:type="dxa" w:w="80"/>
            </w:tcMar>
            <w:vAlign w:val="top"/>
          </w:tcPr>
          <w:p>
            <w:pPr>
              <w:spacing w:after="40"/>
              <w:jc w:val="left"/>
            </w:pPr>
            <w:r>
              <w:rPr>
                <w:sz w:val="17"/>
                <w:szCs w:val="17"/>
              </w:rPr>
              <w:t xml:space="preserve">Chi, O. H., Denton, G., &amp; Gursoy, D. (2020). Artificially intelligent device use in service delivery: A systematic review, synthesis, and research agenda. Journal of Hospitality Marketing &amp; Management, 29(7), 757-786.</w:t>
            </w:r>
          </w:p>
          <w:p>
            <w:pPr>
              <w:spacing w:after="40"/>
              <w:jc w:val="left"/>
            </w:pPr>
            <w:r>
              <w:rPr>
                <w:sz w:val="17"/>
                <w:szCs w:val="17"/>
              </w:rPr>
              <w:t xml:space="preserve">https://doi.org/10.1080/19368623.2020.1721394</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Revue systématique de 63 publications : modèles d'acceptation, motifs d'adoption, freins ; à lire pour la boule de neige (bibliographie).</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S10</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Venkatesh, V., Morris, M. G., Davis, G. B., &amp; Davis, F. D. (2003). User acceptance of information technology: Toward a unified view. MIS Quarterly, 27(3), 425-478.</w:t>
            </w:r>
          </w:p>
          <w:p>
            <w:pPr>
              <w:spacing w:after="40"/>
              <w:jc w:val="left"/>
            </w:pPr>
            <w:r>
              <w:rPr>
                <w:sz w:val="17"/>
                <w:szCs w:val="17"/>
              </w:rPr>
              <w:t xml:space="preserve">https://doi.org/10.2307/30036540</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 + dépôt</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intention et usage ; X = attente de performance, attente d'effort, influence sociale, conditions facilitatrices (UTAUT). Théorie de référence.</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S11</w:t>
            </w:r>
          </w:p>
        </w:tc>
        <w:tc>
          <w:tcPr>
            <w:tcW w:type="dxa" w:w="4700"/>
            <w:tcMar>
              <w:top w:type="dxa" w:w="60"/>
              <w:left w:type="dxa" w:w="80"/>
              <w:bottom w:type="dxa" w:w="60"/>
              <w:right w:type="dxa" w:w="80"/>
            </w:tcMar>
            <w:vAlign w:val="top"/>
          </w:tcPr>
          <w:p>
            <w:pPr>
              <w:spacing w:after="40"/>
              <w:jc w:val="left"/>
            </w:pPr>
            <w:r>
              <w:rPr>
                <w:sz w:val="17"/>
                <w:szCs w:val="17"/>
              </w:rPr>
              <w:t xml:space="preserve">Davis, F. D. (1989). Perceived usefulness, perceived ease of use, and user acceptance of information technology. MIS Quarterly, 13(3), 319-340.</w:t>
            </w:r>
          </w:p>
          <w:p>
            <w:pPr>
              <w:spacing w:after="40"/>
              <w:jc w:val="left"/>
            </w:pPr>
            <w:r>
              <w:rPr>
                <w:sz w:val="17"/>
                <w:szCs w:val="17"/>
              </w:rPr>
              <w:t xml:space="preserve">https://doi.org/10.2307/249008</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acceptation d'une technologie ; X = utilité perçue et facilité d'usage perçue (TAM). Théorie de référence.</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S12</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Mori, M., MacDorman, K. F., &amp; Kageki, N. (2012). The uncanny valley [From the field]. IEEE Robotics &amp; Automation Magazine, 19(2), 98-100.</w:t>
            </w:r>
          </w:p>
          <w:p>
            <w:pPr>
              <w:spacing w:after="40"/>
              <w:jc w:val="left"/>
            </w:pPr>
            <w:r>
              <w:rPr>
                <w:sz w:val="17"/>
                <w:szCs w:val="17"/>
              </w:rPr>
              <w:t xml:space="preserve">https://doi.org/10.1109/MRA.2012.2192811</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 + dépôt</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Texte fondateur (1970, traduit) : l'affinité envers un robot croît avec sa ressemblance humaine jusqu'à un seuil où elle chute (« vallée de l'étrange »).</w:t>
            </w:r>
          </w:p>
        </w:tc>
      </w:tr>
    </w:tbl>
    <w:p>
      <w:pPr>
        <w:spacing w:after="120"/>
      </w:pPr>
    </w:p>
    <w:p>
      <w:pPr>
        <w:pStyle w:val="Heading2"/>
        <w:spacing w:after="120" w:before="280"/>
      </w:pPr>
      <w:r>
        <w:t xml:space="preserve">Groupe 1 — L3 MHR hébergement : le robot réceptionniste</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700"/>
        <w:gridCol w:w="4700"/>
        <w:gridCol w:w="900"/>
        <w:gridCol w:w="3338"/>
      </w:tblGrid>
      <w:tr>
        <w:trPr>
          <w:tblHeader/>
        </w:trPr>
        <w:tc>
          <w:tcPr>
            <w:tcW w:type="dxa" w:w="700"/>
            <w:shd w:fill="0F6E6E" w:color="auto" w:val="clear"/>
            <w:tcMar>
              <w:top w:type="dxa" w:w="60"/>
              <w:left w:type="dxa" w:w="80"/>
              <w:bottom w:type="dxa" w:w="60"/>
              <w:right w:type="dxa" w:w="80"/>
            </w:tcMar>
            <w:vAlign w:val="center"/>
          </w:tcPr>
          <w:p>
            <w:pPr>
              <w:spacing w:after="0"/>
            </w:pPr>
            <w:r>
              <w:rPr>
                <w:b/>
                <w:bCs/>
                <w:color w:val="FFFFFF"/>
                <w:sz w:val="20"/>
                <w:szCs w:val="20"/>
              </w:rPr>
              <w:t xml:space="preserve">N°</w:t>
            </w:r>
          </w:p>
        </w:tc>
        <w:tc>
          <w:tcPr>
            <w:tcW w:type="dxa" w:w="4700"/>
            <w:shd w:fill="0F6E6E" w:color="auto" w:val="clear"/>
            <w:tcMar>
              <w:top w:type="dxa" w:w="60"/>
              <w:left w:type="dxa" w:w="80"/>
              <w:bottom w:type="dxa" w:w="60"/>
              <w:right w:type="dxa" w:w="80"/>
            </w:tcMar>
            <w:vAlign w:val="center"/>
          </w:tcPr>
          <w:p>
            <w:pPr>
              <w:spacing w:after="0"/>
            </w:pPr>
            <w:r>
              <w:rPr>
                <w:b/>
                <w:bCs/>
                <w:color w:val="FFFFFF"/>
                <w:sz w:val="20"/>
                <w:szCs w:val="20"/>
              </w:rPr>
              <w:t xml:space="preserve">Référence</w:t>
            </w:r>
          </w:p>
        </w:tc>
        <w:tc>
          <w:tcPr>
            <w:tcW w:type="dxa" w:w="900"/>
            <w:shd w:fill="0F6E6E" w:color="auto" w:val="clear"/>
            <w:tcMar>
              <w:top w:type="dxa" w:w="60"/>
              <w:left w:type="dxa" w:w="80"/>
              <w:bottom w:type="dxa" w:w="60"/>
              <w:right w:type="dxa" w:w="80"/>
            </w:tcMar>
            <w:vAlign w:val="center"/>
          </w:tcPr>
          <w:p>
            <w:pPr>
              <w:spacing w:after="0"/>
            </w:pPr>
            <w:r>
              <w:rPr>
                <w:b/>
                <w:bCs/>
                <w:color w:val="FFFFFF"/>
                <w:sz w:val="20"/>
                <w:szCs w:val="20"/>
              </w:rPr>
              <w:t xml:space="preserve">Accès</w:t>
            </w:r>
          </w:p>
        </w:tc>
        <w:tc>
          <w:tcPr>
            <w:tcW w:type="dxa" w:w="3338"/>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l'article apporte (Y / X)</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H1</w:t>
            </w:r>
          </w:p>
        </w:tc>
        <w:tc>
          <w:tcPr>
            <w:tcW w:type="dxa" w:w="4700"/>
            <w:tcMar>
              <w:top w:type="dxa" w:w="60"/>
              <w:left w:type="dxa" w:w="80"/>
              <w:bottom w:type="dxa" w:w="60"/>
              <w:right w:type="dxa" w:w="80"/>
            </w:tcMar>
            <w:vAlign w:val="top"/>
          </w:tcPr>
          <w:p>
            <w:pPr>
              <w:spacing w:after="40"/>
              <w:jc w:val="left"/>
            </w:pPr>
            <w:r>
              <w:rPr>
                <w:sz w:val="17"/>
                <w:szCs w:val="17"/>
              </w:rPr>
              <w:t xml:space="preserve">Choi, Y., Choi, M., Oh, M., &amp; Kim, S. (2020). Service robots in hotels: Understanding the service quality perceptions of human-robot interaction. Journal of Hospitality Marketing &amp; Management, 29(6), 613-635.</w:t>
            </w:r>
          </w:p>
          <w:p>
            <w:pPr>
              <w:spacing w:after="40"/>
              <w:jc w:val="left"/>
            </w:pPr>
            <w:r>
              <w:rPr>
                <w:sz w:val="17"/>
                <w:szCs w:val="17"/>
              </w:rPr>
              <w:t xml:space="preserve">https://doi.org/10.1080/19368623.2020.1703871</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qualité de service perçue (interaction, environnement, résultat) ; X = prestataire humain, robot ou combinaison.</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H2</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Chan, A. P. H., &amp; Tung, V. W. S. (2019). Examining the effects of robotic service on brand experience: The moderating role of hotel segment. Journal of Travel &amp; Tourism Marketing, 36(4), 458-468.</w:t>
            </w:r>
          </w:p>
          <w:p>
            <w:pPr>
              <w:spacing w:after="40"/>
              <w:jc w:val="left"/>
            </w:pPr>
            <w:r>
              <w:rPr>
                <w:sz w:val="17"/>
                <w:szCs w:val="17"/>
              </w:rPr>
              <w:t xml:space="preserve">https://doi.org/10.1080/10548408.2019.1568953</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expérience de marque ; X = service robot vs humain, modéré par le segment hôtelier (budget, milieu de gamme, luxe).</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H3</w:t>
            </w:r>
          </w:p>
        </w:tc>
        <w:tc>
          <w:tcPr>
            <w:tcW w:type="dxa" w:w="4700"/>
            <w:tcMar>
              <w:top w:type="dxa" w:w="60"/>
              <w:left w:type="dxa" w:w="80"/>
              <w:bottom w:type="dxa" w:w="60"/>
              <w:right w:type="dxa" w:w="80"/>
            </w:tcMar>
            <w:vAlign w:val="top"/>
          </w:tcPr>
          <w:p>
            <w:pPr>
              <w:spacing w:after="40"/>
              <w:jc w:val="left"/>
            </w:pPr>
            <w:r>
              <w:rPr>
                <w:sz w:val="17"/>
                <w:szCs w:val="17"/>
              </w:rPr>
              <w:t xml:space="preserve">Kim, S. S., Kim, J., Badu-Baiden, F., Giroux, M., &amp; Choi, Y. (2021). Preference for robot service or human service in hotels? Impacts of the COVID-19 pandemic. International Journal of Hospitality Management, 93, 102795.</w:t>
            </w:r>
          </w:p>
          <w:p>
            <w:pPr>
              <w:spacing w:after="40"/>
              <w:jc w:val="left"/>
            </w:pPr>
            <w:r>
              <w:rPr>
                <w:sz w:val="17"/>
                <w:szCs w:val="17"/>
              </w:rPr>
              <w:t xml:space="preserve">https://doi.org/10.1016/j.ijhm.2020.102795</w:t>
            </w:r>
          </w:p>
        </w:tc>
        <w:tc>
          <w:tcPr>
            <w:tcW w:type="dxa" w:w="900"/>
            <w:tcMar>
              <w:top w:type="dxa" w:w="60"/>
              <w:left w:type="dxa" w:w="80"/>
              <w:bottom w:type="dxa" w:w="60"/>
              <w:right w:type="dxa" w:w="80"/>
            </w:tcMar>
            <w:vAlign w:val="top"/>
          </w:tcPr>
          <w:p>
            <w:pPr>
              <w:spacing w:after="40"/>
              <w:jc w:val="left"/>
            </w:pPr>
            <w:r>
              <w:rPr>
                <w:sz w:val="17"/>
                <w:szCs w:val="17"/>
              </w:rPr>
              <w:t xml:space="preserve">BU + dépôt</w:t>
            </w:r>
          </w:p>
        </w:tc>
        <w:tc>
          <w:tcPr>
            <w:tcW w:type="dxa" w:w="3338"/>
            <w:tcMar>
              <w:top w:type="dxa" w:w="60"/>
              <w:left w:type="dxa" w:w="80"/>
              <w:bottom w:type="dxa" w:w="60"/>
              <w:right w:type="dxa" w:w="80"/>
            </w:tcMar>
            <w:vAlign w:val="top"/>
          </w:tcPr>
          <w:p>
            <w:pPr>
              <w:spacing w:after="40"/>
              <w:jc w:val="left"/>
            </w:pPr>
            <w:r>
              <w:rPr>
                <w:sz w:val="17"/>
                <w:szCs w:val="17"/>
              </w:rPr>
              <w:t xml:space="preserve">Y = préférence pour un hôtel servi par des robots ; X = saillance de la menace sanitaire, via sécurité et distanciation perçues.</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H4</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Zhong, L., Sun, S., Law, R., &amp; Zhang, X. (2020). Impact of robot hotel service on consumers' purchase intention: A control experiment. Asia Pacific Journal of Tourism Research, 25(7), 780-798.</w:t>
            </w:r>
          </w:p>
          <w:p>
            <w:pPr>
              <w:spacing w:after="40"/>
              <w:jc w:val="left"/>
            </w:pPr>
            <w:r>
              <w:rPr>
                <w:sz w:val="17"/>
                <w:szCs w:val="17"/>
              </w:rPr>
              <w:t xml:space="preserve">https://doi.org/10.1080/10941665.2020.1726421</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intention d'achat ; X = service hôtelier robotisé vs traditionnel (expérimentation par vidéo).</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H5</w:t>
            </w:r>
          </w:p>
        </w:tc>
        <w:tc>
          <w:tcPr>
            <w:tcW w:type="dxa" w:w="4700"/>
            <w:tcMar>
              <w:top w:type="dxa" w:w="60"/>
              <w:left w:type="dxa" w:w="80"/>
              <w:bottom w:type="dxa" w:w="60"/>
              <w:right w:type="dxa" w:w="80"/>
            </w:tcMar>
            <w:vAlign w:val="top"/>
          </w:tcPr>
          <w:p>
            <w:pPr>
              <w:spacing w:after="40"/>
              <w:jc w:val="left"/>
            </w:pPr>
            <w:r>
              <w:rPr>
                <w:sz w:val="17"/>
                <w:szCs w:val="17"/>
              </w:rPr>
              <w:t xml:space="preserve">Ivanov, S., Webster, C., &amp; Garenko, A. (2018). Young Russian adults' attitudes towards the potential use of robots in hotels. Technology in Society, 55, 24-32.</w:t>
            </w:r>
          </w:p>
          <w:p>
            <w:pPr>
              <w:spacing w:after="40"/>
              <w:jc w:val="left"/>
            </w:pPr>
            <w:r>
              <w:rPr>
                <w:sz w:val="17"/>
                <w:szCs w:val="17"/>
              </w:rPr>
              <w:t xml:space="preserve">https://doi.org/10.1016/j.techsoc.2018.06.004</w:t>
            </w:r>
          </w:p>
        </w:tc>
        <w:tc>
          <w:tcPr>
            <w:tcW w:type="dxa" w:w="900"/>
            <w:tcMar>
              <w:top w:type="dxa" w:w="60"/>
              <w:left w:type="dxa" w:w="80"/>
              <w:bottom w:type="dxa" w:w="60"/>
              <w:right w:type="dxa" w:w="80"/>
            </w:tcMar>
            <w:vAlign w:val="top"/>
          </w:tcPr>
          <w:p>
            <w:pPr>
              <w:spacing w:after="40"/>
              <w:jc w:val="left"/>
            </w:pPr>
            <w:r>
              <w:rPr>
                <w:sz w:val="17"/>
                <w:szCs w:val="17"/>
              </w:rPr>
              <w:t xml:space="preserve">BU + dépôt</w:t>
            </w:r>
          </w:p>
        </w:tc>
        <w:tc>
          <w:tcPr>
            <w:tcW w:type="dxa" w:w="3338"/>
            <w:tcMar>
              <w:top w:type="dxa" w:w="60"/>
              <w:left w:type="dxa" w:w="80"/>
              <w:bottom w:type="dxa" w:w="60"/>
              <w:right w:type="dxa" w:w="80"/>
            </w:tcMar>
            <w:vAlign w:val="top"/>
          </w:tcPr>
          <w:p>
            <w:pPr>
              <w:spacing w:after="40"/>
              <w:jc w:val="left"/>
            </w:pPr>
            <w:r>
              <w:rPr>
                <w:sz w:val="17"/>
                <w:szCs w:val="17"/>
              </w:rPr>
              <w:t xml:space="preserve">Y = attitudes envers l'usage de robots pour différentes tâches hôtelières ; X = genre, résidence, attitude envers les services.</w:t>
            </w:r>
          </w:p>
        </w:tc>
      </w:tr>
    </w:tbl>
    <w:p>
      <w:pPr>
        <w:spacing w:after="120"/>
      </w:pPr>
    </w:p>
    <w:p>
      <w:pPr>
        <w:pStyle w:val="Heading2"/>
        <w:spacing w:after="120" w:before="280"/>
      </w:pPr>
      <w:r>
        <w:t xml:space="preserve">Groupe 2 — L3 MHR restauration : le robot serveur</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700"/>
        <w:gridCol w:w="4700"/>
        <w:gridCol w:w="900"/>
        <w:gridCol w:w="3338"/>
      </w:tblGrid>
      <w:tr>
        <w:trPr>
          <w:tblHeader/>
        </w:trPr>
        <w:tc>
          <w:tcPr>
            <w:tcW w:type="dxa" w:w="700"/>
            <w:shd w:fill="0F6E6E" w:color="auto" w:val="clear"/>
            <w:tcMar>
              <w:top w:type="dxa" w:w="60"/>
              <w:left w:type="dxa" w:w="80"/>
              <w:bottom w:type="dxa" w:w="60"/>
              <w:right w:type="dxa" w:w="80"/>
            </w:tcMar>
            <w:vAlign w:val="center"/>
          </w:tcPr>
          <w:p>
            <w:pPr>
              <w:spacing w:after="0"/>
            </w:pPr>
            <w:r>
              <w:rPr>
                <w:b/>
                <w:bCs/>
                <w:color w:val="FFFFFF"/>
                <w:sz w:val="20"/>
                <w:szCs w:val="20"/>
              </w:rPr>
              <w:t xml:space="preserve">N°</w:t>
            </w:r>
          </w:p>
        </w:tc>
        <w:tc>
          <w:tcPr>
            <w:tcW w:type="dxa" w:w="4700"/>
            <w:shd w:fill="0F6E6E" w:color="auto" w:val="clear"/>
            <w:tcMar>
              <w:top w:type="dxa" w:w="60"/>
              <w:left w:type="dxa" w:w="80"/>
              <w:bottom w:type="dxa" w:w="60"/>
              <w:right w:type="dxa" w:w="80"/>
            </w:tcMar>
            <w:vAlign w:val="center"/>
          </w:tcPr>
          <w:p>
            <w:pPr>
              <w:spacing w:after="0"/>
            </w:pPr>
            <w:r>
              <w:rPr>
                <w:b/>
                <w:bCs/>
                <w:color w:val="FFFFFF"/>
                <w:sz w:val="20"/>
                <w:szCs w:val="20"/>
              </w:rPr>
              <w:t xml:space="preserve">Référence</w:t>
            </w:r>
          </w:p>
        </w:tc>
        <w:tc>
          <w:tcPr>
            <w:tcW w:type="dxa" w:w="900"/>
            <w:shd w:fill="0F6E6E" w:color="auto" w:val="clear"/>
            <w:tcMar>
              <w:top w:type="dxa" w:w="60"/>
              <w:left w:type="dxa" w:w="80"/>
              <w:bottom w:type="dxa" w:w="60"/>
              <w:right w:type="dxa" w:w="80"/>
            </w:tcMar>
            <w:vAlign w:val="center"/>
          </w:tcPr>
          <w:p>
            <w:pPr>
              <w:spacing w:after="0"/>
            </w:pPr>
            <w:r>
              <w:rPr>
                <w:b/>
                <w:bCs/>
                <w:color w:val="FFFFFF"/>
                <w:sz w:val="20"/>
                <w:szCs w:val="20"/>
              </w:rPr>
              <w:t xml:space="preserve">Accès</w:t>
            </w:r>
          </w:p>
        </w:tc>
        <w:tc>
          <w:tcPr>
            <w:tcW w:type="dxa" w:w="3338"/>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l'article apporte (Y / X)</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R1</w:t>
            </w:r>
          </w:p>
        </w:tc>
        <w:tc>
          <w:tcPr>
            <w:tcW w:type="dxa" w:w="4700"/>
            <w:tcMar>
              <w:top w:type="dxa" w:w="60"/>
              <w:left w:type="dxa" w:w="80"/>
              <w:bottom w:type="dxa" w:w="60"/>
              <w:right w:type="dxa" w:w="80"/>
            </w:tcMar>
            <w:vAlign w:val="top"/>
          </w:tcPr>
          <w:p>
            <w:pPr>
              <w:spacing w:after="40"/>
              <w:jc w:val="left"/>
            </w:pPr>
            <w:r>
              <w:rPr>
                <w:sz w:val="17"/>
                <w:szCs w:val="17"/>
              </w:rPr>
              <w:t xml:space="preserve">Seo, K. H., &amp; Lee, J. H. (2021). The emergence of service robots at restaurants: Integrating trust, perceived risk, and satisfaction. Sustainability, 13(8), 4431.</w:t>
            </w:r>
          </w:p>
          <w:p>
            <w:pPr>
              <w:spacing w:after="40"/>
              <w:jc w:val="left"/>
            </w:pPr>
            <w:r>
              <w:rPr>
                <w:sz w:val="17"/>
                <w:szCs w:val="17"/>
              </w:rPr>
              <w:t xml:space="preserve">https://doi.org/10.3390/su13084431</w:t>
            </w:r>
          </w:p>
        </w:tc>
        <w:tc>
          <w:tcPr>
            <w:tcW w:type="dxa" w:w="900"/>
            <w:tcMar>
              <w:top w:type="dxa" w:w="60"/>
              <w:left w:type="dxa" w:w="80"/>
              <w:bottom w:type="dxa" w:w="60"/>
              <w:right w:type="dxa" w:w="80"/>
            </w:tcMar>
            <w:vAlign w:val="top"/>
          </w:tcPr>
          <w:p>
            <w:pPr>
              <w:spacing w:after="40"/>
              <w:jc w:val="left"/>
            </w:pPr>
            <w:r>
              <w:rPr>
                <w:sz w:val="17"/>
                <w:szCs w:val="17"/>
              </w:rPr>
              <w:t xml:space="preserve">OA</w:t>
            </w:r>
          </w:p>
        </w:tc>
        <w:tc>
          <w:tcPr>
            <w:tcW w:type="dxa" w:w="3338"/>
            <w:tcMar>
              <w:top w:type="dxa" w:w="60"/>
              <w:left w:type="dxa" w:w="80"/>
              <w:bottom w:type="dxa" w:w="60"/>
              <w:right w:type="dxa" w:w="80"/>
            </w:tcMar>
            <w:vAlign w:val="top"/>
          </w:tcPr>
          <w:p>
            <w:pPr>
              <w:spacing w:after="40"/>
              <w:jc w:val="left"/>
            </w:pPr>
            <w:r>
              <w:rPr>
                <w:sz w:val="17"/>
                <w:szCs w:val="17"/>
              </w:rPr>
              <w:t xml:space="preserve">Y = intention de revisite d'un restaurant à robots serveurs ; X = utilité, facilité, confiance, risque perçu, satisfaction (TAM étendu, N = 338).</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R2</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Cha, S. S. (2020). Customers' intention to use robot-serviced restaurants in Korea: Relationship of coolness and MCI factors. International Journal of Contemporary Hospitality Management, 32(9), 2947-2968.</w:t>
            </w:r>
          </w:p>
          <w:p>
            <w:pPr>
              <w:spacing w:after="40"/>
              <w:jc w:val="left"/>
            </w:pPr>
            <w:r>
              <w:rPr>
                <w:sz w:val="17"/>
                <w:szCs w:val="17"/>
              </w:rPr>
              <w:t xml:space="preserve">https://doi.org/10.1108/IJCHM-01-2020-0046</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intention d'utiliser un restaurant servi par des robots ; X = innovativité motivée → « coolness » perçue du robot → attitude (N = 420).</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R3</w:t>
            </w:r>
          </w:p>
        </w:tc>
        <w:tc>
          <w:tcPr>
            <w:tcW w:type="dxa" w:w="4700"/>
            <w:tcMar>
              <w:top w:type="dxa" w:w="60"/>
              <w:left w:type="dxa" w:w="80"/>
              <w:bottom w:type="dxa" w:w="60"/>
              <w:right w:type="dxa" w:w="80"/>
            </w:tcMar>
            <w:vAlign w:val="top"/>
          </w:tcPr>
          <w:p>
            <w:pPr>
              <w:spacing w:after="40"/>
              <w:jc w:val="left"/>
            </w:pPr>
            <w:r>
              <w:rPr>
                <w:sz w:val="17"/>
                <w:szCs w:val="17"/>
              </w:rPr>
              <w:t xml:space="preserve">Hwang, J., Kim, H., Kim, J. J., &amp; Kim, I. (2021). Investigation of perceived risks and their outcome variables in the context of robotic restaurants. Journal of Travel &amp; Tourism Marketing, 38(3), 263-281.</w:t>
            </w:r>
          </w:p>
          <w:p>
            <w:pPr>
              <w:spacing w:after="40"/>
              <w:jc w:val="left"/>
            </w:pPr>
            <w:r>
              <w:rPr>
                <w:sz w:val="17"/>
                <w:szCs w:val="17"/>
              </w:rPr>
              <w:t xml:space="preserve">https://doi.org/10.1080/10548408.2021.1906826</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attitude, intention, bouche-à-oreille, consentement à payer ; X = cinq risques perçus (N = 419).</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R4</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Kim, J. J., Choe, J. Y., &amp; Hwang, J. (2021). Application of consumer innovativeness to the context of robotic restaurants. International Journal of Contemporary Hospitality Management, 33(1), 224-242.</w:t>
            </w:r>
          </w:p>
          <w:p>
            <w:pPr>
              <w:spacing w:after="40"/>
              <w:jc w:val="left"/>
            </w:pPr>
            <w:r>
              <w:rPr>
                <w:sz w:val="17"/>
                <w:szCs w:val="17"/>
              </w:rPr>
              <w:t xml:space="preserve">https://doi.org/10.1108/IJCHM-06-2020-0602</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image du restaurant robotisé, désir de fréquentation, intentions ; X = quatre dimensions de l'innovativité du consommateur (N = 409).</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R5</w:t>
            </w:r>
          </w:p>
        </w:tc>
        <w:tc>
          <w:tcPr>
            <w:tcW w:type="dxa" w:w="4700"/>
            <w:tcMar>
              <w:top w:type="dxa" w:w="60"/>
              <w:left w:type="dxa" w:w="80"/>
              <w:bottom w:type="dxa" w:w="60"/>
              <w:right w:type="dxa" w:w="80"/>
            </w:tcMar>
            <w:vAlign w:val="top"/>
          </w:tcPr>
          <w:p>
            <w:pPr>
              <w:spacing w:after="40"/>
              <w:jc w:val="left"/>
            </w:pPr>
            <w:r>
              <w:rPr>
                <w:sz w:val="17"/>
                <w:szCs w:val="17"/>
              </w:rPr>
              <w:t xml:space="preserve">Byrd, K., Fan, A., Her, E., Liu, Y., Almanza, B., &amp; Leitch, S. (2021). Robot vs human: Expectations, performances and gaps in off-premise restaurant service modes. International Journal of Contemporary Hospitality Management, 33(11), 3996-4016.</w:t>
            </w:r>
          </w:p>
          <w:p>
            <w:pPr>
              <w:spacing w:after="40"/>
              <w:jc w:val="left"/>
            </w:pPr>
            <w:r>
              <w:rPr>
                <w:sz w:val="17"/>
                <w:szCs w:val="17"/>
              </w:rPr>
              <w:t xml:space="preserve">https://doi.org/10.1108/IJCHM-07-2020-0721</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attentes et performance perçue (sécurité alimentaire, efficacité, commodité) ; X = mode de service (robot, humain, à emporter).</w:t>
            </w:r>
          </w:p>
        </w:tc>
      </w:tr>
    </w:tbl>
    <w:p>
      <w:pPr>
        <w:spacing w:after="120"/>
      </w:pPr>
    </w:p>
    <w:p>
      <w:pPr>
        <w:pStyle w:val="Heading2"/>
        <w:spacing w:after="120" w:before="280"/>
      </w:pPr>
      <w:r>
        <w:t xml:space="preserve">Groupe 3 — L3 MRC restauration collective : le robot cuisinier</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700"/>
        <w:gridCol w:w="4700"/>
        <w:gridCol w:w="900"/>
        <w:gridCol w:w="3338"/>
      </w:tblGrid>
      <w:tr>
        <w:trPr>
          <w:tblHeader/>
        </w:trPr>
        <w:tc>
          <w:tcPr>
            <w:tcW w:type="dxa" w:w="700"/>
            <w:shd w:fill="0F6E6E" w:color="auto" w:val="clear"/>
            <w:tcMar>
              <w:top w:type="dxa" w:w="60"/>
              <w:left w:type="dxa" w:w="80"/>
              <w:bottom w:type="dxa" w:w="60"/>
              <w:right w:type="dxa" w:w="80"/>
            </w:tcMar>
            <w:vAlign w:val="center"/>
          </w:tcPr>
          <w:p>
            <w:pPr>
              <w:spacing w:after="0"/>
            </w:pPr>
            <w:r>
              <w:rPr>
                <w:b/>
                <w:bCs/>
                <w:color w:val="FFFFFF"/>
                <w:sz w:val="20"/>
                <w:szCs w:val="20"/>
              </w:rPr>
              <w:t xml:space="preserve">N°</w:t>
            </w:r>
          </w:p>
        </w:tc>
        <w:tc>
          <w:tcPr>
            <w:tcW w:type="dxa" w:w="4700"/>
            <w:shd w:fill="0F6E6E" w:color="auto" w:val="clear"/>
            <w:tcMar>
              <w:top w:type="dxa" w:w="60"/>
              <w:left w:type="dxa" w:w="80"/>
              <w:bottom w:type="dxa" w:w="60"/>
              <w:right w:type="dxa" w:w="80"/>
            </w:tcMar>
            <w:vAlign w:val="center"/>
          </w:tcPr>
          <w:p>
            <w:pPr>
              <w:spacing w:after="0"/>
            </w:pPr>
            <w:r>
              <w:rPr>
                <w:b/>
                <w:bCs/>
                <w:color w:val="FFFFFF"/>
                <w:sz w:val="20"/>
                <w:szCs w:val="20"/>
              </w:rPr>
              <w:t xml:space="preserve">Référence</w:t>
            </w:r>
          </w:p>
        </w:tc>
        <w:tc>
          <w:tcPr>
            <w:tcW w:type="dxa" w:w="900"/>
            <w:shd w:fill="0F6E6E" w:color="auto" w:val="clear"/>
            <w:tcMar>
              <w:top w:type="dxa" w:w="60"/>
              <w:left w:type="dxa" w:w="80"/>
              <w:bottom w:type="dxa" w:w="60"/>
              <w:right w:type="dxa" w:w="80"/>
            </w:tcMar>
            <w:vAlign w:val="center"/>
          </w:tcPr>
          <w:p>
            <w:pPr>
              <w:spacing w:after="0"/>
            </w:pPr>
            <w:r>
              <w:rPr>
                <w:b/>
                <w:bCs/>
                <w:color w:val="FFFFFF"/>
                <w:sz w:val="20"/>
                <w:szCs w:val="20"/>
              </w:rPr>
              <w:t xml:space="preserve">Accès</w:t>
            </w:r>
          </w:p>
        </w:tc>
        <w:tc>
          <w:tcPr>
            <w:tcW w:type="dxa" w:w="3338"/>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l'article apporte (Y / X)</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C1</w:t>
            </w:r>
          </w:p>
        </w:tc>
        <w:tc>
          <w:tcPr>
            <w:tcW w:type="dxa" w:w="4700"/>
            <w:tcMar>
              <w:top w:type="dxa" w:w="60"/>
              <w:left w:type="dxa" w:w="80"/>
              <w:bottom w:type="dxa" w:w="60"/>
              <w:right w:type="dxa" w:w="80"/>
            </w:tcMar>
            <w:vAlign w:val="top"/>
          </w:tcPr>
          <w:p>
            <w:pPr>
              <w:spacing w:after="40"/>
              <w:jc w:val="left"/>
            </w:pPr>
            <w:r>
              <w:rPr>
                <w:sz w:val="17"/>
                <w:szCs w:val="17"/>
              </w:rPr>
              <w:t xml:space="preserve">Zhu, D. H., &amp; Chang, Y. P. (2020). Robot with humanoid hands cooks food better? Effect of robotic chef anthropomorphism on food quality prediction. International Journal of Contemporary Hospitality Management, 32(3), 1367-1383.</w:t>
            </w:r>
          </w:p>
          <w:p>
            <w:pPr>
              <w:spacing w:after="40"/>
              <w:jc w:val="left"/>
            </w:pPr>
            <w:r>
              <w:rPr>
                <w:sz w:val="17"/>
                <w:szCs w:val="17"/>
              </w:rPr>
              <w:t xml:space="preserve">https://doi.org/10.1108/IJCHM-10-2019-0904</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qualité alimentaire prédite ; X = anthropomorphisme du robot cuisinier, via chaleur et compétence perçues (N = 221, PLS-SEM).</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C2</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Xiao, C., &amp; Zhao, L. (2022). Robotic chef versus human chef: The effects of anthropomorphism, novel cues, and cooking difficulty level on food quality prediction. International Journal of Social Robotics, 14(7), 1697-1710.</w:t>
            </w:r>
          </w:p>
          <w:p>
            <w:pPr>
              <w:spacing w:after="40"/>
              <w:jc w:val="left"/>
            </w:pPr>
            <w:r>
              <w:rPr>
                <w:sz w:val="17"/>
                <w:szCs w:val="17"/>
              </w:rPr>
              <w:t xml:space="preserve">https://doi.org/10.1007/s12369-022-00896-9</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 + dépôt</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qualité prédite du plat (présentation, odeur, goût, sécurité) ; X = cuisinier humain vs robot, anthropomorphisme, difficulté de la recette (trois expérimentations).</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C3</w:t>
            </w:r>
          </w:p>
        </w:tc>
        <w:tc>
          <w:tcPr>
            <w:tcW w:type="dxa" w:w="4700"/>
            <w:tcMar>
              <w:top w:type="dxa" w:w="60"/>
              <w:left w:type="dxa" w:w="80"/>
              <w:bottom w:type="dxa" w:w="60"/>
              <w:right w:type="dxa" w:w="80"/>
            </w:tcMar>
            <w:vAlign w:val="top"/>
          </w:tcPr>
          <w:p>
            <w:pPr>
              <w:spacing w:after="40"/>
              <w:jc w:val="left"/>
            </w:pPr>
            <w:r>
              <w:rPr>
                <w:sz w:val="17"/>
                <w:szCs w:val="17"/>
              </w:rPr>
              <w:t xml:space="preserve">Parvez, M. O., Hossain, M. S., Islam, M. S., &amp; Eluwole, K. K. (2025). Customers' acceptance of AI-powered robot chefs in casual dining restaurants. Journal of Hospitality and Tourism Insights, 8(4), 1564-1581.</w:t>
            </w:r>
          </w:p>
          <w:p>
            <w:pPr>
              <w:spacing w:after="40"/>
              <w:jc w:val="left"/>
            </w:pPr>
            <w:r>
              <w:rPr>
                <w:sz w:val="17"/>
                <w:szCs w:val="17"/>
              </w:rPr>
              <w:t xml:space="preserve">https://doi.org/10.1108/JHTI-04-2024-0347</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acceptation des robots chefs ; X = motivations fonctionnelle, hédonique, cognitive et sociale → connaissance et attitude (N = 489, PLS-SEM).</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C4</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Gong, J., Guan, X., &amp; Huan, T.-C. (2025). Exploring the critical attributes of robot chef restaurants and their impact on customer perceived value: A mixed-methods study. International Journal of Contemporary Hospitality Management, 37(2), 522-540.</w:t>
            </w:r>
          </w:p>
          <w:p>
            <w:pPr>
              <w:spacing w:after="40"/>
              <w:jc w:val="left"/>
            </w:pPr>
            <w:r>
              <w:rPr>
                <w:sz w:val="17"/>
                <w:szCs w:val="17"/>
              </w:rPr>
              <w:t xml:space="preserve">https://doi.org/10.1108/IJCHM-02-2024-0242</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Y = valeur perçue d'un restaurant à robot cuisinier ; X = attributs critiques (authenticité et qualité de la nourriture), attitude envers l'automatisation en modérateur.</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C5</w:t>
            </w:r>
          </w:p>
        </w:tc>
        <w:tc>
          <w:tcPr>
            <w:tcW w:type="dxa" w:w="4700"/>
            <w:tcMar>
              <w:top w:type="dxa" w:w="60"/>
              <w:left w:type="dxa" w:w="80"/>
              <w:bottom w:type="dxa" w:w="60"/>
              <w:right w:type="dxa" w:w="80"/>
            </w:tcMar>
            <w:vAlign w:val="top"/>
          </w:tcPr>
          <w:p>
            <w:pPr>
              <w:spacing w:after="40"/>
              <w:jc w:val="left"/>
            </w:pPr>
            <w:r>
              <w:rPr>
                <w:sz w:val="17"/>
                <w:szCs w:val="17"/>
              </w:rPr>
              <w:t xml:space="preserve">Sung, H. J., &amp; Jeon, H. M. (2020). Untact: Customer's acceptance intention toward robot barista in coffee shop. Sustainability, 12(20), 8598.</w:t>
            </w:r>
          </w:p>
          <w:p>
            <w:pPr>
              <w:spacing w:after="40"/>
              <w:jc w:val="left"/>
            </w:pPr>
            <w:r>
              <w:rPr>
                <w:sz w:val="17"/>
                <w:szCs w:val="17"/>
              </w:rPr>
              <w:t xml:space="preserve">https://doi.org/10.3390/su12208598</w:t>
            </w:r>
          </w:p>
        </w:tc>
        <w:tc>
          <w:tcPr>
            <w:tcW w:type="dxa" w:w="900"/>
            <w:tcMar>
              <w:top w:type="dxa" w:w="60"/>
              <w:left w:type="dxa" w:w="80"/>
              <w:bottom w:type="dxa" w:w="60"/>
              <w:right w:type="dxa" w:w="80"/>
            </w:tcMar>
            <w:vAlign w:val="top"/>
          </w:tcPr>
          <w:p>
            <w:pPr>
              <w:spacing w:after="40"/>
              <w:jc w:val="left"/>
            </w:pPr>
            <w:r>
              <w:rPr>
                <w:sz w:val="17"/>
                <w:szCs w:val="17"/>
              </w:rPr>
              <w:t xml:space="preserve">OA</w:t>
            </w:r>
          </w:p>
        </w:tc>
        <w:tc>
          <w:tcPr>
            <w:tcW w:type="dxa" w:w="3338"/>
            <w:tcMar>
              <w:top w:type="dxa" w:w="60"/>
              <w:left w:type="dxa" w:w="80"/>
              <w:bottom w:type="dxa" w:w="60"/>
              <w:right w:type="dxa" w:w="80"/>
            </w:tcMar>
            <w:vAlign w:val="top"/>
          </w:tcPr>
          <w:p>
            <w:pPr>
              <w:spacing w:after="40"/>
              <w:jc w:val="left"/>
            </w:pPr>
            <w:r>
              <w:rPr>
                <w:sz w:val="17"/>
                <w:szCs w:val="17"/>
              </w:rPr>
              <w:t xml:space="preserve">Y = intention d'accepter le robot barista ; X = utilité, plaisir, besoin d'interaction (négatif), risque perçu, innovativité (N = 317).</w:t>
            </w:r>
          </w:p>
        </w:tc>
      </w:tr>
    </w:tbl>
    <w:p>
      <w:pPr>
        <w:spacing w:after="120"/>
      </w:pPr>
    </w:p>
    <w:p>
      <w:pPr>
        <w:pStyle w:val="Heading2"/>
        <w:spacing w:after="120" w:before="280"/>
      </w:pPr>
      <w:r>
        <w:t xml:space="preserve">Lectures francophones complémentaires</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700"/>
        <w:gridCol w:w="4700"/>
        <w:gridCol w:w="900"/>
        <w:gridCol w:w="3338"/>
      </w:tblGrid>
      <w:tr>
        <w:trPr>
          <w:tblHeader/>
        </w:trPr>
        <w:tc>
          <w:tcPr>
            <w:tcW w:type="dxa" w:w="700"/>
            <w:shd w:fill="0F6E6E" w:color="auto" w:val="clear"/>
            <w:tcMar>
              <w:top w:type="dxa" w:w="60"/>
              <w:left w:type="dxa" w:w="80"/>
              <w:bottom w:type="dxa" w:w="60"/>
              <w:right w:type="dxa" w:w="80"/>
            </w:tcMar>
            <w:vAlign w:val="center"/>
          </w:tcPr>
          <w:p>
            <w:pPr>
              <w:spacing w:after="0"/>
            </w:pPr>
            <w:r>
              <w:rPr>
                <w:b/>
                <w:bCs/>
                <w:color w:val="FFFFFF"/>
                <w:sz w:val="20"/>
                <w:szCs w:val="20"/>
              </w:rPr>
              <w:t xml:space="preserve">N°</w:t>
            </w:r>
          </w:p>
        </w:tc>
        <w:tc>
          <w:tcPr>
            <w:tcW w:type="dxa" w:w="4700"/>
            <w:shd w:fill="0F6E6E" w:color="auto" w:val="clear"/>
            <w:tcMar>
              <w:top w:type="dxa" w:w="60"/>
              <w:left w:type="dxa" w:w="80"/>
              <w:bottom w:type="dxa" w:w="60"/>
              <w:right w:type="dxa" w:w="80"/>
            </w:tcMar>
            <w:vAlign w:val="center"/>
          </w:tcPr>
          <w:p>
            <w:pPr>
              <w:spacing w:after="0"/>
            </w:pPr>
            <w:r>
              <w:rPr>
                <w:b/>
                <w:bCs/>
                <w:color w:val="FFFFFF"/>
                <w:sz w:val="20"/>
                <w:szCs w:val="20"/>
              </w:rPr>
              <w:t xml:space="preserve">Référence</w:t>
            </w:r>
          </w:p>
        </w:tc>
        <w:tc>
          <w:tcPr>
            <w:tcW w:type="dxa" w:w="900"/>
            <w:shd w:fill="0F6E6E" w:color="auto" w:val="clear"/>
            <w:tcMar>
              <w:top w:type="dxa" w:w="60"/>
              <w:left w:type="dxa" w:w="80"/>
              <w:bottom w:type="dxa" w:w="60"/>
              <w:right w:type="dxa" w:w="80"/>
            </w:tcMar>
            <w:vAlign w:val="center"/>
          </w:tcPr>
          <w:p>
            <w:pPr>
              <w:spacing w:after="0"/>
            </w:pPr>
            <w:r>
              <w:rPr>
                <w:b/>
                <w:bCs/>
                <w:color w:val="FFFFFF"/>
                <w:sz w:val="20"/>
                <w:szCs w:val="20"/>
              </w:rPr>
              <w:t xml:space="preserve">Accès</w:t>
            </w:r>
          </w:p>
        </w:tc>
        <w:tc>
          <w:tcPr>
            <w:tcW w:type="dxa" w:w="3338"/>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l'article apporte (Y / X)</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F1</w:t>
            </w:r>
          </w:p>
        </w:tc>
        <w:tc>
          <w:tcPr>
            <w:tcW w:type="dxa" w:w="4700"/>
            <w:tcMar>
              <w:top w:type="dxa" w:w="60"/>
              <w:left w:type="dxa" w:w="80"/>
              <w:bottom w:type="dxa" w:w="60"/>
              <w:right w:type="dxa" w:w="80"/>
            </w:tcMar>
            <w:vAlign w:val="top"/>
          </w:tcPr>
          <w:p>
            <w:pPr>
              <w:spacing w:after="40"/>
              <w:jc w:val="left"/>
            </w:pPr>
            <w:r>
              <w:rPr>
                <w:sz w:val="17"/>
                <w:szCs w:val="17"/>
              </w:rPr>
              <w:t xml:space="preserve">Yang, X., Garnier, M., &amp; Djelassi, S. (2025). « Robot, ne m'approche pas ! » Quand un robot imite l'approche par un vendeur en magasin : impact sur l'intrusivité perçue et les attentes comportementales. Recherche et Applications en Marketing, 40(4), 28-67.</w:t>
            </w:r>
          </w:p>
          <w:p>
            <w:pPr>
              <w:spacing w:after="40"/>
              <w:jc w:val="left"/>
            </w:pPr>
            <w:r>
              <w:rPr>
                <w:sz w:val="17"/>
                <w:szCs w:val="17"/>
              </w:rPr>
              <w:t xml:space="preserve">https://doi.org/10.1177/07673701251379974</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intrusivité perçue, satisfaction, attentes comportementales ; X = agent qui aborde le client (robot vs vendeur) — quatre expérimentations.</w:t>
            </w:r>
          </w:p>
        </w:tc>
      </w:tr>
      <w:tr>
        <w:trPr>
          <w:cantSplit/>
        </w:trPr>
        <w:tc>
          <w:tcPr>
            <w:tcW w:type="dxa" w:w="700"/>
            <w:shd w:fill="F2F2F2" w:color="auto" w:val="clear"/>
            <w:tcMar>
              <w:top w:type="dxa" w:w="60"/>
              <w:left w:type="dxa" w:w="80"/>
              <w:bottom w:type="dxa" w:w="60"/>
              <w:right w:type="dxa" w:w="80"/>
            </w:tcMar>
            <w:vAlign w:val="top"/>
          </w:tcPr>
          <w:p>
            <w:pPr>
              <w:spacing w:after="40"/>
              <w:jc w:val="left"/>
            </w:pPr>
            <w:r>
              <w:rPr>
                <w:sz w:val="17"/>
                <w:szCs w:val="17"/>
              </w:rPr>
              <w:t xml:space="preserve">F2</w:t>
            </w:r>
          </w:p>
        </w:tc>
        <w:tc>
          <w:tcPr>
            <w:tcW w:type="dxa" w:w="4700"/>
            <w:shd w:fill="F2F2F2" w:color="auto" w:val="clear"/>
            <w:tcMar>
              <w:top w:type="dxa" w:w="60"/>
              <w:left w:type="dxa" w:w="80"/>
              <w:bottom w:type="dxa" w:w="60"/>
              <w:right w:type="dxa" w:w="80"/>
            </w:tcMar>
            <w:vAlign w:val="top"/>
          </w:tcPr>
          <w:p>
            <w:pPr>
              <w:spacing w:after="40"/>
              <w:jc w:val="left"/>
            </w:pPr>
            <w:r>
              <w:rPr>
                <w:sz w:val="17"/>
                <w:szCs w:val="17"/>
              </w:rPr>
              <w:t xml:space="preserve">Kerekes, M. (2024). Comprendre les interactions entre les consommateurs et les robots sociaux : une approche interprétativiste et ethnographique. Vie &amp; sciences de l'entreprise, 223(5), 75-103.</w:t>
            </w:r>
          </w:p>
          <w:p>
            <w:pPr>
              <w:spacing w:after="40"/>
              <w:jc w:val="left"/>
            </w:pPr>
            <w:r>
              <w:rPr>
                <w:sz w:val="17"/>
                <w:szCs w:val="17"/>
              </w:rPr>
              <w:t xml:space="preserve">https://doi.org/10.3917/vse.223.0075</w:t>
            </w:r>
          </w:p>
        </w:tc>
        <w:tc>
          <w:tcPr>
            <w:tcW w:type="dxa" w:w="900"/>
            <w:shd w:fill="F2F2F2" w:color="auto" w:val="clear"/>
            <w:tcMar>
              <w:top w:type="dxa" w:w="60"/>
              <w:left w:type="dxa" w:w="80"/>
              <w:bottom w:type="dxa" w:w="60"/>
              <w:right w:type="dxa" w:w="80"/>
            </w:tcMar>
            <w:vAlign w:val="top"/>
          </w:tcPr>
          <w:p>
            <w:pPr>
              <w:spacing w:after="40"/>
              <w:jc w:val="left"/>
            </w:pPr>
            <w:r>
              <w:rPr>
                <w:sz w:val="17"/>
                <w:szCs w:val="17"/>
              </w:rPr>
              <w:t xml:space="preserve">BU</w:t>
            </w:r>
          </w:p>
        </w:tc>
        <w:tc>
          <w:tcPr>
            <w:tcW w:type="dxa" w:w="3338"/>
            <w:shd w:fill="F2F2F2" w:color="auto" w:val="clear"/>
            <w:tcMar>
              <w:top w:type="dxa" w:w="60"/>
              <w:left w:type="dxa" w:w="80"/>
              <w:bottom w:type="dxa" w:w="60"/>
              <w:right w:type="dxa" w:w="80"/>
            </w:tcMar>
            <w:vAlign w:val="top"/>
          </w:tcPr>
          <w:p>
            <w:pPr>
              <w:spacing w:after="40"/>
              <w:jc w:val="left"/>
            </w:pPr>
            <w:r>
              <w:rPr>
                <w:sz w:val="17"/>
                <w:szCs w:val="17"/>
              </w:rPr>
              <w:t xml:space="preserve">Étude qualitative (posture interprétativiste) des interactions consommateurs-robots sociaux ; à lire comme contrepoint méthodologique.</w:t>
            </w:r>
          </w:p>
        </w:tc>
      </w:tr>
      <w:tr>
        <w:trPr>
          <w:cantSplit/>
        </w:trPr>
        <w:tc>
          <w:tcPr>
            <w:tcW w:type="dxa" w:w="700"/>
            <w:tcMar>
              <w:top w:type="dxa" w:w="60"/>
              <w:left w:type="dxa" w:w="80"/>
              <w:bottom w:type="dxa" w:w="60"/>
              <w:right w:type="dxa" w:w="80"/>
            </w:tcMar>
            <w:vAlign w:val="top"/>
          </w:tcPr>
          <w:p>
            <w:pPr>
              <w:spacing w:after="40"/>
              <w:jc w:val="left"/>
            </w:pPr>
            <w:r>
              <w:rPr>
                <w:sz w:val="17"/>
                <w:szCs w:val="17"/>
              </w:rPr>
              <w:t xml:space="preserve">F3</w:t>
            </w:r>
          </w:p>
        </w:tc>
        <w:tc>
          <w:tcPr>
            <w:tcW w:type="dxa" w:w="4700"/>
            <w:tcMar>
              <w:top w:type="dxa" w:w="60"/>
              <w:left w:type="dxa" w:w="80"/>
              <w:bottom w:type="dxa" w:w="60"/>
              <w:right w:type="dxa" w:w="80"/>
            </w:tcMar>
            <w:vAlign w:val="top"/>
          </w:tcPr>
          <w:p>
            <w:pPr>
              <w:spacing w:after="40"/>
              <w:jc w:val="left"/>
            </w:pPr>
            <w:r>
              <w:rPr>
                <w:sz w:val="17"/>
                <w:szCs w:val="17"/>
              </w:rPr>
              <w:t xml:space="preserve">Goudey, A., &amp; Bonnin, G. (2016). Must smart objects look human? Study of the impact of anthropomorphism on the acceptance of companion robots. Recherche et Applications en Marketing (English Edition), 31(2), 2-20.</w:t>
            </w:r>
          </w:p>
          <w:p>
            <w:pPr>
              <w:spacing w:after="40"/>
              <w:jc w:val="left"/>
            </w:pPr>
            <w:r>
              <w:rPr>
                <w:sz w:val="17"/>
                <w:szCs w:val="17"/>
              </w:rPr>
              <w:t xml:space="preserve">https://doi.org/10.1177/2051570716643961</w:t>
            </w:r>
          </w:p>
        </w:tc>
        <w:tc>
          <w:tcPr>
            <w:tcW w:type="dxa" w:w="900"/>
            <w:tcMar>
              <w:top w:type="dxa" w:w="60"/>
              <w:left w:type="dxa" w:w="80"/>
              <w:bottom w:type="dxa" w:w="60"/>
              <w:right w:type="dxa" w:w="80"/>
            </w:tcMar>
            <w:vAlign w:val="top"/>
          </w:tcPr>
          <w:p>
            <w:pPr>
              <w:spacing w:after="40"/>
              <w:jc w:val="left"/>
            </w:pPr>
            <w:r>
              <w:rPr>
                <w:sz w:val="17"/>
                <w:szCs w:val="17"/>
              </w:rPr>
              <w:t xml:space="preserve">BU</w:t>
            </w:r>
          </w:p>
        </w:tc>
        <w:tc>
          <w:tcPr>
            <w:tcW w:type="dxa" w:w="3338"/>
            <w:tcMar>
              <w:top w:type="dxa" w:w="60"/>
              <w:left w:type="dxa" w:w="80"/>
              <w:bottom w:type="dxa" w:w="60"/>
              <w:right w:type="dxa" w:w="80"/>
            </w:tcMar>
            <w:vAlign w:val="top"/>
          </w:tcPr>
          <w:p>
            <w:pPr>
              <w:spacing w:after="40"/>
              <w:jc w:val="left"/>
            </w:pPr>
            <w:r>
              <w:rPr>
                <w:sz w:val="17"/>
                <w:szCs w:val="17"/>
              </w:rPr>
              <w:t xml:space="preserve">Y = acceptation d'un robot compagnon ; X = anthropomorphisme (apparence) — référence francophone fondatrice sur l'anthropomorphisme.</w:t>
            </w:r>
          </w:p>
        </w:tc>
      </w:tr>
    </w:tbl>
    <w:p>
      <w:pPr>
        <w:spacing w:after="120"/>
      </w:pPr>
    </w:p>
    <w:p>
      <w:pPr>
        <w:pStyle w:val="Heading2"/>
        <w:spacing w:after="120" w:before="280"/>
      </w:pPr>
      <w:r>
        <w:t xml:space="preserve">Répartition dans le groupe</w:t>
      </w:r>
    </w:p>
    <w:p>
      <w:pPr>
        <w:spacing w:after="120" w:line="276"/>
        <w:jc w:val="both"/>
      </w:pPr>
      <w:r>
        <w:t xml:space="preserve">Le groupe répartit les articles de façon que chaque article du socle et chaque article de contexte soit fiché par au moins un étudiant ; les articles centraux (S1, S2, S3 et le premier article du contexte) sont fichés par deux étudiants, dont les fiches seront comparées. La répartition est notée dans la matrice de synthèse (colonne « fiché par »).</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1500"/>
        <w:gridCol w:w="2300"/>
        <w:gridCol w:w="3838"/>
        <w:gridCol w:w="2000"/>
      </w:tblGrid>
      <w:tr>
        <w:trPr>
          <w:tblHeader/>
        </w:trPr>
        <w:tc>
          <w:tcPr>
            <w:tcW w:type="dxa" w:w="1500"/>
            <w:shd w:fill="0F6E6E" w:color="auto" w:val="clear"/>
            <w:tcMar>
              <w:top w:type="dxa" w:w="60"/>
              <w:left w:type="dxa" w:w="80"/>
              <w:bottom w:type="dxa" w:w="60"/>
              <w:right w:type="dxa" w:w="80"/>
            </w:tcMar>
            <w:vAlign w:val="center"/>
          </w:tcPr>
          <w:p>
            <w:pPr>
              <w:spacing w:after="0"/>
            </w:pPr>
            <w:r>
              <w:rPr>
                <w:b/>
                <w:bCs/>
                <w:color w:val="FFFFFF"/>
                <w:sz w:val="20"/>
                <w:szCs w:val="20"/>
              </w:rPr>
              <w:t xml:space="preserve">Article</w:t>
            </w:r>
          </w:p>
        </w:tc>
        <w:tc>
          <w:tcPr>
            <w:tcW w:type="dxa" w:w="2300"/>
            <w:shd w:fill="0F6E6E" w:color="auto" w:val="clear"/>
            <w:tcMar>
              <w:top w:type="dxa" w:w="60"/>
              <w:left w:type="dxa" w:w="80"/>
              <w:bottom w:type="dxa" w:w="60"/>
              <w:right w:type="dxa" w:w="80"/>
            </w:tcMar>
            <w:vAlign w:val="center"/>
          </w:tcPr>
          <w:p>
            <w:pPr>
              <w:spacing w:after="0"/>
            </w:pPr>
            <w:r>
              <w:rPr>
                <w:b/>
                <w:bCs/>
                <w:color w:val="FFFFFF"/>
                <w:sz w:val="20"/>
                <w:szCs w:val="20"/>
              </w:rPr>
              <w:t xml:space="preserve">Fiché par (nom)</w:t>
            </w:r>
          </w:p>
        </w:tc>
        <w:tc>
          <w:tcPr>
            <w:tcW w:type="dxa" w:w="3838"/>
            <w:shd w:fill="0F6E6E" w:color="auto" w:val="clear"/>
            <w:tcMar>
              <w:top w:type="dxa" w:w="60"/>
              <w:left w:type="dxa" w:w="80"/>
              <w:bottom w:type="dxa" w:w="60"/>
              <w:right w:type="dxa" w:w="80"/>
            </w:tcMar>
            <w:vAlign w:val="center"/>
          </w:tcPr>
          <w:p>
            <w:pPr>
              <w:spacing w:after="0"/>
            </w:pPr>
            <w:r>
              <w:rPr>
                <w:b/>
                <w:bCs/>
                <w:color w:val="FFFFFF"/>
                <w:sz w:val="20"/>
                <w:szCs w:val="20"/>
              </w:rPr>
              <w:t xml:space="preserve">Article trouvé par l'étudiant (référence courte)</w:t>
            </w:r>
          </w:p>
        </w:tc>
        <w:tc>
          <w:tcPr>
            <w:tcW w:type="dxa" w:w="2000"/>
            <w:shd w:fill="0F6E6E" w:color="auto" w:val="clear"/>
            <w:tcMar>
              <w:top w:type="dxa" w:w="60"/>
              <w:left w:type="dxa" w:w="80"/>
              <w:bottom w:type="dxa" w:w="60"/>
              <w:right w:type="dxa" w:w="80"/>
            </w:tcMar>
            <w:vAlign w:val="center"/>
          </w:tcPr>
          <w:p>
            <w:pPr>
              <w:spacing w:after="0"/>
            </w:pPr>
            <w:r>
              <w:rPr>
                <w:b/>
                <w:bCs/>
                <w:color w:val="FFFFFF"/>
                <w:sz w:val="20"/>
                <w:szCs w:val="20"/>
              </w:rPr>
              <w:t xml:space="preserve">Validé par le groupe le</w:t>
            </w: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r>
        <w:trPr>
          <w:cantSplit/>
        </w:trPr>
        <w:tc>
          <w:tcPr>
            <w:tcW w:type="dxa" w:w="1500"/>
            <w:tcMar>
              <w:top w:type="dxa" w:w="60"/>
              <w:left w:type="dxa" w:w="80"/>
              <w:bottom w:type="dxa" w:w="60"/>
              <w:right w:type="dxa" w:w="80"/>
            </w:tcMar>
            <w:vAlign w:val="top"/>
          </w:tcPr>
          <w:p>
            <w:pPr>
              <w:spacing w:after="40"/>
              <w:jc w:val="left"/>
            </w:pPr>
          </w:p>
        </w:tc>
        <w:tc>
          <w:tcPr>
            <w:tcW w:type="dxa" w:w="2300"/>
            <w:tcMar>
              <w:top w:type="dxa" w:w="60"/>
              <w:left w:type="dxa" w:w="80"/>
              <w:bottom w:type="dxa" w:w="60"/>
              <w:right w:type="dxa" w:w="80"/>
            </w:tcMar>
            <w:vAlign w:val="top"/>
          </w:tcPr>
          <w:p>
            <w:pPr>
              <w:spacing w:after="40"/>
              <w:jc w:val="left"/>
            </w:pPr>
          </w:p>
        </w:tc>
        <w:tc>
          <w:tcPr>
            <w:tcW w:type="dxa" w:w="3838"/>
            <w:tcMar>
              <w:top w:type="dxa" w:w="60"/>
              <w:left w:type="dxa" w:w="80"/>
              <w:bottom w:type="dxa" w:w="60"/>
              <w:right w:type="dxa" w:w="80"/>
            </w:tcMar>
            <w:vAlign w:val="top"/>
          </w:tcPr>
          <w:p>
            <w:pPr>
              <w:spacing w:after="40"/>
              <w:jc w:val="left"/>
            </w:pPr>
          </w:p>
        </w:tc>
        <w:tc>
          <w:tcPr>
            <w:tcW w:type="dxa" w:w="2000"/>
            <w:tcMar>
              <w:top w:type="dxa" w:w="60"/>
              <w:left w:type="dxa" w:w="80"/>
              <w:bottom w:type="dxa" w:w="60"/>
              <w:right w:type="dxa" w:w="80"/>
            </w:tcMar>
            <w:vAlign w:val="top"/>
          </w:tcPr>
          <w:p>
            <w:pPr>
              <w:spacing w:after="40"/>
              <w:jc w:val="left"/>
            </w:pP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Corpus de départ 2026-2027  —  page </w:t>
    </w:r>
    <w:r>
      <w:rPr>
        <w:color w:val="8080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8"/>
        <w:szCs w:val="18"/>
      </w:rPr>
      <w:t xml:space="preserve">DRA 2026-2027 — L3 MHR / L3 MRC en alternance — ISTHIA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lvl>
  </w:abstractNum>
  <w:abstractNum w:abstractNumId="3" w15:restartNumberingAfterBreak="0">
    <w:multiLevelType w:val="hybridMultilevel"/>
    <w:lvl w:ilvl="0" w15:tentative="1">
      <w:start w:val="1"/>
      <w:numFmt w:val="decimal"/>
      <w:lvlText w:val="%1."/>
      <w:lvlJc w:val="left"/>
      <w:pPr>
        <w:ind w:left="52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Calibri" w:cs="Calibri" w:eastAsia="Calibri" w:hAnsi="Calibri"/>
      <w:b/>
      <w:bCs/>
      <w:color w:val="0F6E6E"/>
      <w:sz w:val="32"/>
      <w:szCs w:val="32"/>
    </w:rPr>
  </w:style>
  <w:style w:type="paragraph" w:styleId="Heading2">
    <w:name w:val="Heading 2"/>
    <w:basedOn w:val="Normal"/>
    <w:next w:val="Normal"/>
    <w:qFormat/>
    <w:pPr>
      <w:spacing w:after="100" w:before="240"/>
      <w:outlineLvl w:val="1"/>
    </w:pPr>
    <w:rPr>
      <w:rFonts w:ascii="Calibri" w:cs="Calibri" w:eastAsia="Calibri" w:hAnsi="Calibri"/>
      <w:b/>
      <w:bCs/>
      <w:color w:val="0B4F4F"/>
      <w:sz w:val="26"/>
      <w:szCs w:val="26"/>
    </w:rPr>
  </w:style>
  <w:style w:type="paragraph" w:styleId="Heading3">
    <w:name w:val="Heading 3"/>
    <w:basedOn w:val="Normal"/>
    <w:next w:val="Normal"/>
    <w:qFormat/>
    <w:pPr>
      <w:spacing w:after="60" w:before="180"/>
      <w:outlineLvl w:val="2"/>
    </w:pPr>
    <w:rPr>
      <w:rFonts w:ascii="Calibri" w:cs="Calibri" w:eastAsia="Calibri" w:hAnsi="Calibri"/>
      <w:b/>
      <w:bCs/>
      <w:color w:val="4040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 Bories</dc:creator>
  <cp:lastModifiedBy>Un-named</cp:lastModifiedBy>
  <cp:revision>1</cp:revision>
  <dcterms:created xsi:type="dcterms:W3CDTF">2026-09-06T11:50:26.630Z</dcterms:created>
  <dcterms:modified xsi:type="dcterms:W3CDTF">2026-09-06T11:50:26.630Z</dcterms:modified>
</cp:coreProperties>
</file>

<file path=docProps/custom.xml><?xml version="1.0" encoding="utf-8"?>
<Properties xmlns="http://schemas.openxmlformats.org/officeDocument/2006/custom-properties" xmlns:vt="http://schemas.openxmlformats.org/officeDocument/2006/docPropsVTypes"/>
</file>