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F6E6E"/>
          <w:sz w:val="40"/>
          <w:szCs w:val="40"/>
        </w:rPr>
        <w:t xml:space="preserve">Fiche de lecture — gabarit</w:t>
      </w:r>
    </w:p>
    <w:p>
      <w:pPr>
        <w:spacing w:after="240"/>
      </w:pPr>
      <w:r>
        <w:rPr>
          <w:color w:val="555555"/>
          <w:sz w:val="24"/>
          <w:szCs w:val="24"/>
        </w:rPr>
        <w:t xml:space="preserve">Un article scientifique, une fiche. Deux pages maximum, rédigées avec vos mots ; les citations sont entre guillemets, avec le numéro de page.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F6E6E" w:sz="6"/>
              <w:left w:val="single" w:color="0F6E6E" w:sz="6"/>
              <w:bottom w:val="single" w:color="0F6E6E" w:sz="6"/>
              <w:right w:val="single" w:color="0F6E6E" w:sz="6"/>
            </w:tcBorders>
            <w:shd w:fill="EAF4F3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0F6E6E"/>
              </w:rPr>
              <w:t xml:space="preserve">À quoi sert la fiche</w:t>
            </w:r>
          </w:p>
          <w:p>
            <w:pPr>
              <w:spacing w:after="60" w:line="276"/>
            </w:pPr>
            <w:r>
              <w:t xml:space="preserve">À ne lire un article qu'une seule fois. Tout ce dont vous aurez besoin plus tard — les variables, les hypothèses, les échelles, les arguments — y est consigné, avec la référence exacte.</w:t>
            </w:r>
          </w:p>
          <w:p>
            <w:pPr>
              <w:spacing w:after="60" w:line="276"/>
            </w:pPr>
            <w:r>
              <w:t xml:space="preserve">À alimenter la </w:t>
            </w:r>
            <w:r>
              <w:rPr>
                <w:b/>
                <w:bCs/>
              </w:rPr>
              <w:t xml:space="preserve">matrice de synthèse</w:t>
            </w:r>
            <w:r>
              <w:t xml:space="preserve"> du groupe : chaque rubrique de la fiche correspond à une colonne de la matrice.</w:t>
            </w:r>
          </w:p>
          <w:p>
            <w:pPr>
              <w:spacing w:after="60" w:line="276"/>
            </w:pPr>
            <w:r>
              <w:t xml:space="preserve">À préparer la revue de littérature : on n'écrit pas une revue à partir d'articles, mais à partir de fiches.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Identification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Rubrique</w:t>
            </w:r>
          </w:p>
        </w:tc>
        <w:tc>
          <w:tcPr>
            <w:tcW w:type="dxa" w:w="6438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Étudiant(e) · groupe · équipe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Date de la fiche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Référence complète (APA 7)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Auteur, A., &amp; Auteur, B. (année). Titre de l'article. </w:t>
            </w:r>
            <w:r>
              <w:rPr>
                <w:i/>
                <w:iCs/>
                <w:sz w:val="19"/>
                <w:szCs w:val="19"/>
              </w:rPr>
              <w:t xml:space="preserve">Revue</w:t>
            </w:r>
            <w:r>
              <w:rPr>
                <w:sz w:val="19"/>
                <w:szCs w:val="19"/>
              </w:rPr>
              <w:t xml:space="preserve">, volume(numéro), pages. https://doi.org/…</w:t>
            </w: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DOI ou URL stable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Type de source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☐ Article de revue à comité de lecture   ☐ Chapitre d'ouvrage   ☐ Communication   ☐ Autre : …</w:t>
            </w:r>
          </w:p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Revue classée (FNEGE / HCERES / CNRS) : ☐ oui, rang …   ☐ non   ☐ ne sait pas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Comment l'article a été trouvé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☐ Corpus de départ   ☐ Base de données : …   ☐ « Cité par »   ☐ Bibliographie de : …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Contenu de l'article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Rubrique</w:t>
            </w:r>
          </w:p>
        </w:tc>
        <w:tc>
          <w:tcPr>
            <w:tcW w:type="dxa" w:w="6438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1. Contexte et question de recherche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Quel problème, quelle question ? En une ou deux phrases.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2. Cadre théorique et concepts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Théories ou modèles mobilisés (TAM, UTAUT, AIDUA, sRAM…) ; définition des concepts clés, avec la page.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3. Variable(s) expliquée(s) — Y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Ce que l'article cherche à expliquer ou à prédire.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4. Variables explicatives — X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Liste ; préciser les médiateurs et modérateurs éventuels.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5. Hypothèses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Numéro, relation (X → Y), sens attendu (+ ou −).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6. Méthode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Design (enquête, expérimentation, entretiens, conceptuel) ; terrain et pays ; échantillon (N, profil) ; mesures (échelles utilisées, nombre d'items, sources) ; analyse (régression, SEM, PLS…).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7. Résultats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Hypothèse par hypothèse : validée ou rejetée ; coefficients ou effets notables. Sans interprétation personnelle.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8. Apports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Théoriques (que comprend-on mieux ?), méthodologiques, managériaux (que recommandent les auteurs ?).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9. Limites et voies de recherche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Celles reconnues par les auteurs, puis celles que vous voyez.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Utilité pour notre projet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Rubrique</w:t>
            </w:r>
          </w:p>
        </w:tc>
        <w:tc>
          <w:tcPr>
            <w:tcW w:type="dxa" w:w="6438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10. Ce que nous reprenons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Variables ou relations candidates pour le modèle du groupe ; échelles de mesure réutilisables (avec la page ou l'annexe où elles figurent) ; arguments pour justifier une hypothèse.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11. Citation(s) à retenir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Texte original entre guillemets + page ; traduction proposée en dessous.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12. Références à suivre (boule de neige)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Deux ou trois références de la bibliographie qui semblent utiles.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13. Mots-clés (FR / EN)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14. Note de confiance</w:t>
            </w:r>
          </w:p>
          <w:p>
            <w:pPr>
              <w:spacing w:after="40"/>
              <w:jc w:val="left"/>
            </w:pPr>
            <w:r>
              <w:rPr>
                <w:i/>
                <w:iCs/>
                <w:sz w:val="19"/>
                <w:szCs w:val="19"/>
              </w:rPr>
              <w:t xml:space="preserve">De 1 (article peu utile ou fragile) à 5 (article central) — et pourquoi.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55555"/>
          <w:sz w:val="20"/>
          <w:szCs w:val="20"/>
        </w:rPr>
        <w:t xml:space="preserve">Déclaration d'usage de l'IA (obligatoire) : indiquer ici si un outil d'IA a été utilisé (traduction, aide à la compréhension) et ce qui a été vérifié dans l'article original. Voir la charte d'usage de l'IA.</w:t>
      </w:r>
    </w:p>
    <w:p>
      <w:r>
        <w:br w:type="page"/>
      </w:r>
    </w:p>
    <w:p>
      <w:pPr>
        <w:spacing w:after="80"/>
      </w:pPr>
      <w:r>
        <w:rPr>
          <w:b/>
          <w:bCs/>
          <w:color w:val="0F6E6E"/>
          <w:sz w:val="40"/>
          <w:szCs w:val="40"/>
        </w:rPr>
        <w:t xml:space="preserve">Grille de relecture de la fiche de lecture</w:t>
      </w:r>
    </w:p>
    <w:p>
      <w:pPr>
        <w:spacing w:after="240"/>
      </w:pPr>
      <w:r>
        <w:rPr>
          <w:color w:val="555555"/>
          <w:sz w:val="24"/>
          <w:szCs w:val="24"/>
        </w:rPr>
        <w:t xml:space="preserve">Point d'étape 1 — la fiche portant sur l'article du corpus est relue avec cette grille ; retour individuel en séance de pilotage.</w:t>
      </w:r>
    </w:p>
    <w:p>
      <w:pPr>
        <w:spacing w:after="120" w:line="276"/>
        <w:jc w:val="both"/>
      </w:pPr>
      <w:r>
        <w:t xml:space="preserve">La grille est connue à l'avance : c'est un outil de travail, pas une surprise. Chaque critère est apprécié sur quatre niveaux. Un critère « à reprendre » signale un point à corriger avant la revue de littérature ; il ne compte pas comme un échec.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900"/>
        <w:gridCol w:w="5538"/>
        <w:gridCol w:w="2200"/>
      </w:tblGrid>
      <w:tr>
        <w:trPr>
          <w:tblHeader/>
        </w:trPr>
        <w:tc>
          <w:tcPr>
            <w:tcW w:type="dxa" w:w="19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</w:t>
            </w:r>
          </w:p>
        </w:tc>
        <w:tc>
          <w:tcPr>
            <w:tcW w:type="dxa" w:w="5538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l'on regarde</w:t>
            </w:r>
          </w:p>
        </w:tc>
        <w:tc>
          <w:tcPr>
            <w:tcW w:type="dxa" w:w="22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Niveau</w:t>
            </w:r>
          </w:p>
        </w:tc>
      </w:tr>
      <w:tr>
        <w:trPr>
          <w:cantSplit/>
        </w:trP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1. Référence</w:t>
            </w:r>
          </w:p>
        </w:tc>
        <w:tc>
          <w:tcPr>
            <w:tcW w:type="dxa" w:w="55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Référence complète, exacte, au format du dossier ; DOI présent ; source correctement qualifiée (revue à comité de lecture ou non).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À reprendre · Fragile · Satisfaisant · Maîtrisé</w:t>
            </w:r>
          </w:p>
        </w:tc>
      </w:tr>
      <w:tr>
        <w:trPr>
          <w:cantSplit/>
        </w:trPr>
        <w:tc>
          <w:tcPr>
            <w:tcW w:type="dxa" w:w="19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2. Question et cadre</w:t>
            </w:r>
          </w:p>
        </w:tc>
        <w:tc>
          <w:tcPr>
            <w:tcW w:type="dxa" w:w="5538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La question de recherche est restituée en une phrase ; les théories mobilisées sont nommées et les concepts définis avec la page.</w:t>
            </w:r>
          </w:p>
        </w:tc>
        <w:tc>
          <w:tcPr>
            <w:tcW w:type="dxa" w:w="22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À reprendre · Fragile · Satisfaisant · Maîtrisé</w:t>
            </w:r>
          </w:p>
        </w:tc>
      </w:tr>
      <w:tr>
        <w:trPr>
          <w:cantSplit/>
        </w:trP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3. Variables</w:t>
            </w:r>
          </w:p>
        </w:tc>
        <w:tc>
          <w:tcPr>
            <w:tcW w:type="dxa" w:w="55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Le Y est identifié sans ambiguïté ; les X sont listés ; médiateurs et modérateurs distingués lorsqu'ils existent.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À reprendre · Fragile · Satisfaisant · Maîtrisé</w:t>
            </w:r>
          </w:p>
        </w:tc>
      </w:tr>
      <w:tr>
        <w:trPr>
          <w:cantSplit/>
        </w:trPr>
        <w:tc>
          <w:tcPr>
            <w:tcW w:type="dxa" w:w="19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4. Hypothèses</w:t>
            </w:r>
          </w:p>
        </w:tc>
        <w:tc>
          <w:tcPr>
            <w:tcW w:type="dxa" w:w="5538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Les hypothèses sont restituées avec leur sens (+ / −) et rattachées aux variables ; rien n'est inventé.</w:t>
            </w:r>
          </w:p>
        </w:tc>
        <w:tc>
          <w:tcPr>
            <w:tcW w:type="dxa" w:w="22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À reprendre · Fragile · Satisfaisant · Maîtrisé</w:t>
            </w:r>
          </w:p>
        </w:tc>
      </w:tr>
      <w:tr>
        <w:trPr>
          <w:cantSplit/>
        </w:trP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5. Méthode</w:t>
            </w:r>
          </w:p>
        </w:tc>
        <w:tc>
          <w:tcPr>
            <w:tcW w:type="dxa" w:w="55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Design, terrain, échantillon (N), mesures (échelles et sources) et méthode d'analyse sont présents et exacts.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À reprendre · Fragile · Satisfaisant · Maîtrisé</w:t>
            </w:r>
          </w:p>
        </w:tc>
      </w:tr>
      <w:tr>
        <w:trPr>
          <w:cantSplit/>
        </w:trPr>
        <w:tc>
          <w:tcPr>
            <w:tcW w:type="dxa" w:w="19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6. Résultats</w:t>
            </w:r>
          </w:p>
        </w:tc>
        <w:tc>
          <w:tcPr>
            <w:tcW w:type="dxa" w:w="5538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Résultats restitués hypothèse par hypothèse, sans sur-interprétation ; les chiffres cités sont ceux de l'article.</w:t>
            </w:r>
          </w:p>
        </w:tc>
        <w:tc>
          <w:tcPr>
            <w:tcW w:type="dxa" w:w="22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À reprendre · Fragile · Satisfaisant · Maîtrisé</w:t>
            </w:r>
          </w:p>
        </w:tc>
      </w:tr>
      <w:tr>
        <w:trPr>
          <w:cantSplit/>
        </w:trP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7. Apports et limites</w:t>
            </w:r>
          </w:p>
        </w:tc>
        <w:tc>
          <w:tcPr>
            <w:tcW w:type="dxa" w:w="55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Apports théoriques et managériaux distingués ; limites reconnues par les auteurs, complétées par un regard personnel.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À reprendre · Fragile · Satisfaisant · Maîtrisé</w:t>
            </w:r>
          </w:p>
        </w:tc>
      </w:tr>
      <w:tr>
        <w:trPr>
          <w:cantSplit/>
        </w:trPr>
        <w:tc>
          <w:tcPr>
            <w:tcW w:type="dxa" w:w="19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8. Utilité pour le projet</w:t>
            </w:r>
          </w:p>
        </w:tc>
        <w:tc>
          <w:tcPr>
            <w:tcW w:type="dxa" w:w="5538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La fiche dit précisément ce que le groupe peut reprendre (variable, échelle, argument) et pourquoi ; références à suivre indiquées.</w:t>
            </w:r>
          </w:p>
        </w:tc>
        <w:tc>
          <w:tcPr>
            <w:tcW w:type="dxa" w:w="22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À reprendre · Fragile · Satisfaisant · Maîtrisé</w:t>
            </w:r>
          </w:p>
        </w:tc>
      </w:tr>
      <w:tr>
        <w:trPr>
          <w:cantSplit/>
        </w:trP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9. Rédaction et intégrité</w:t>
            </w:r>
          </w:p>
        </w:tc>
        <w:tc>
          <w:tcPr>
            <w:tcW w:type="dxa" w:w="55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Deux pages maximum, avec vos mots ; citations entre guillemets avec page ; traduction vérifiée ; déclaration d'usage de l'IA renseignée.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À reprendre · Fragile · Satisfaisant · Maîtrisé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Appréciation d'ensemble</w:t>
            </w:r>
          </w:p>
        </w:tc>
        <w:tc>
          <w:tcPr>
            <w:tcW w:type="dxa" w:w="6438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Points forts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À reprendre avant la revue de littérature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Relu par · date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</w:tbl>
    <w:p>
      <w:r>
        <w:br w:type="page"/>
      </w:r>
    </w:p>
    <w:p>
      <w:pPr>
        <w:spacing w:after="80"/>
      </w:pPr>
      <w:r>
        <w:rPr>
          <w:b/>
          <w:bCs/>
          <w:color w:val="0F6E6E"/>
          <w:sz w:val="40"/>
          <w:szCs w:val="40"/>
        </w:rPr>
        <w:t xml:space="preserve">Exemple de fiche remplie</w:t>
      </w:r>
    </w:p>
    <w:p>
      <w:pPr>
        <w:spacing w:after="240"/>
      </w:pPr>
      <w:r>
        <w:rPr>
          <w:color w:val="555555"/>
          <w:sz w:val="24"/>
          <w:szCs w:val="24"/>
        </w:rPr>
        <w:t xml:space="preserve">Seo, K. H., &amp; Lee, J. H. (2021) — article en accès ouvert, choisi pour que chacun puisse comparer la fiche à l'article.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Rubrique</w:t>
            </w:r>
          </w:p>
        </w:tc>
        <w:tc>
          <w:tcPr>
            <w:tcW w:type="dxa" w:w="6438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Référence complète (APA 7)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Seo, K. H., &amp; Lee, J. H. (2021). The emergence of service robots at restaurants: Integrating trust, perceived risk, and satisfaction. </w:t>
            </w:r>
            <w:r>
              <w:rPr>
                <w:i/>
                <w:iCs/>
                <w:sz w:val="19"/>
                <w:szCs w:val="19"/>
              </w:rPr>
              <w:t xml:space="preserve">Sustainability</w:t>
            </w:r>
            <w:r>
              <w:rPr>
                <w:sz w:val="19"/>
                <w:szCs w:val="19"/>
              </w:rPr>
              <w:t xml:space="preserve">, 13(8), 4431. https://doi.org/10.3390/su13084431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Type de source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Article de revue à comité de lecture (MDPI, accès ouvert). Trouvé dans le corpus de départ.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1. Contexte et question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Les restaurants introduisent des robots serveurs ; qu'est-ce qui conduit un client à revenir dans un restaurant servi par des robots ?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2. Cadre théorique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Modèle d'acceptation de la technologie (TAM, Davis, 1989) étendu à la confiance, au risque perçu et à la satisfaction.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3. Y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Intention de revisite du restaurant à robots de service.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4. X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Utilité perçue ; facilité d'usage perçue ; confiance envers le robot ; risque perçu ; satisfaction (médiateur vers l'intention).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5. Hypothèses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Confiance → utilité perçue (+) ; confiance → risque perçu (−) ; utilité et facilité → satisfaction (+) ; risque → satisfaction (−) ; satisfaction → intention de revisite (+). (Reprendre la numérotation exacte de l'article.)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6. Méthode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Enquête par questionnaire sur scénario ; clients de restaurants en Corée du Sud ; N = 338 ; échelles reprises de la littérature TAM ; modèle d'équations structurelles.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7. Résultats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La confiance renforce l'utilité perçue et la satisfaction et réduit le risque perçu ; la satisfaction conduit à l'intention de revisite. Relever les coefficients dans le tableau des résultats de l'article.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8. Apports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Théorique : intégration de la confiance et du risque au TAM dans le contexte des robots serveurs. Managérial : construire la confiance (fiabilité du robot, information des clients) avant de généraliser le service robotisé.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9. Limites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Un seul pays ; scénario plutôt qu'expérience réelle ; intention plutôt que comportement. À vérifier dans un contexte français.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10. Utilité pour le projet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Groupe 2 (robot serveur) : la confiance est une extension candidate du socle ; le risque perçu y est traité globalement, alors que notre modèle 2025-2026 distingue quatre risques — argument pour conserver cette distinction. Échelles d'utilité et de facilité réutilisables (annexe de l'article).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11. Citation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« … » (p. …) — à compléter à partir de l'article.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12. Références à suivre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Davis (1989) ; Featherman &amp; Pavlou (2003) ; Wirtz et al. (2018).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13. Mots-clés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robot serveur, confiance, risque perçu, satisfaction, TAM / service robot, trust, perceived risk, satisfaction, revisit intention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14. Note de confiance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4/5 — article empirique récent, directement dans notre contexte, revue généraliste toutefois.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Gabarit « Fiche de lecture » et grille de relecture  —  page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8"/>
        <w:szCs w:val="18"/>
      </w:rPr>
      <w:t xml:space="preserve">DRA 2026-2027 — L3 MHR / L3 MRC en alternance — ISTHIA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00"/>
      <w:outlineLvl w:val="0"/>
    </w:pPr>
    <w:rPr>
      <w:rFonts w:ascii="Calibri" w:cs="Calibri" w:eastAsia="Calibri" w:hAnsi="Calibri"/>
      <w:b/>
      <w:bCs/>
      <w:color w:val="0F6E6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Calibri" w:cs="Calibri" w:eastAsia="Calibri" w:hAnsi="Calibri"/>
      <w:b/>
      <w:bCs/>
      <w:color w:val="0B4F4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80"/>
      <w:outlineLvl w:val="2"/>
    </w:pPr>
    <w:rPr>
      <w:rFonts w:ascii="Calibri" w:cs="Calibri" w:eastAsia="Calibri" w:hAnsi="Calibri"/>
      <w:b/>
      <w:b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Bories</dc:creator>
  <cp:lastModifiedBy>Un-named</cp:lastModifiedBy>
  <cp:revision>1</cp:revision>
  <dcterms:created xsi:type="dcterms:W3CDTF">2026-09-06T11:50:26.428Z</dcterms:created>
  <dcterms:modified xsi:type="dcterms:W3CDTF">2026-09-06T11:50:26.439Z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