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0F6E6E"/>
          <w:sz w:val="40"/>
          <w:szCs w:val="40"/>
        </w:rPr>
        <w:t xml:space="preserve">Guide de recherche documentaire</w:t>
      </w:r>
    </w:p>
    <w:p>
      <w:pPr>
        <w:spacing w:after="240"/>
      </w:pPr>
      <w:r>
        <w:rPr>
          <w:color w:val="555555"/>
          <w:sz w:val="24"/>
          <w:szCs w:val="24"/>
        </w:rPr>
        <w:t xml:space="preserve">Trouver, trier et organiser des articles scientifiques pour le projet de recherche appliquée.</w:t>
      </w:r>
    </w:p>
    <w:p>
      <w:pPr>
        <w:pStyle w:val="Heading2"/>
        <w:spacing w:after="120" w:before="280"/>
      </w:pPr>
      <w:r>
        <w:t xml:space="preserve">1. Où chercher</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2300"/>
        <w:gridCol w:w="4338"/>
        <w:gridCol w:w="3000"/>
      </w:tblGrid>
      <w:tr>
        <w:trPr>
          <w:tblHeader/>
        </w:trPr>
        <w:tc>
          <w:tcPr>
            <w:tcW w:type="dxa" w:w="2300"/>
            <w:shd w:fill="0F6E6E" w:color="auto" w:val="clear"/>
            <w:tcMar>
              <w:top w:type="dxa" w:w="60"/>
              <w:left w:type="dxa" w:w="80"/>
              <w:bottom w:type="dxa" w:w="60"/>
              <w:right w:type="dxa" w:w="80"/>
            </w:tcMar>
            <w:vAlign w:val="center"/>
          </w:tcPr>
          <w:p>
            <w:pPr>
              <w:spacing w:after="0"/>
            </w:pPr>
            <w:r>
              <w:rPr>
                <w:b/>
                <w:bCs/>
                <w:color w:val="FFFFFF"/>
                <w:sz w:val="20"/>
                <w:szCs w:val="20"/>
              </w:rPr>
              <w:t xml:space="preserve">Outil</w:t>
            </w:r>
          </w:p>
        </w:tc>
        <w:tc>
          <w:tcPr>
            <w:tcW w:type="dxa" w:w="4338"/>
            <w:shd w:fill="0F6E6E" w:color="auto" w:val="clear"/>
            <w:tcMar>
              <w:top w:type="dxa" w:w="60"/>
              <w:left w:type="dxa" w:w="80"/>
              <w:bottom w:type="dxa" w:w="60"/>
              <w:right w:type="dxa" w:w="80"/>
            </w:tcMar>
            <w:vAlign w:val="center"/>
          </w:tcPr>
          <w:p>
            <w:pPr>
              <w:spacing w:after="0"/>
            </w:pPr>
            <w:r>
              <w:rPr>
                <w:b/>
                <w:bCs/>
                <w:color w:val="FFFFFF"/>
                <w:sz w:val="20"/>
                <w:szCs w:val="20"/>
              </w:rPr>
              <w:t xml:space="preserve">Ce qu'on y trouve</w:t>
            </w:r>
          </w:p>
        </w:tc>
        <w:tc>
          <w:tcPr>
            <w:tcW w:type="dxa" w:w="3000"/>
            <w:shd w:fill="0F6E6E" w:color="auto" w:val="clear"/>
            <w:tcMar>
              <w:top w:type="dxa" w:w="60"/>
              <w:left w:type="dxa" w:w="80"/>
              <w:bottom w:type="dxa" w:w="60"/>
              <w:right w:type="dxa" w:w="80"/>
            </w:tcMar>
            <w:vAlign w:val="center"/>
          </w:tcPr>
          <w:p>
            <w:pPr>
              <w:spacing w:after="0"/>
            </w:pPr>
            <w:r>
              <w:rPr>
                <w:b/>
                <w:bCs/>
                <w:color w:val="FFFFFF"/>
                <w:sz w:val="20"/>
                <w:szCs w:val="20"/>
              </w:rPr>
              <w:t xml:space="preserve">Comment y accéder</w:t>
            </w:r>
          </w:p>
        </w:tc>
      </w:tr>
      <w:tr>
        <w:trPr>
          <w:cantSplit/>
        </w:trPr>
        <w:tc>
          <w:tcPr>
            <w:tcW w:type="dxa" w:w="2300"/>
            <w:tcMar>
              <w:top w:type="dxa" w:w="60"/>
              <w:left w:type="dxa" w:w="80"/>
              <w:bottom w:type="dxa" w:w="60"/>
              <w:right w:type="dxa" w:w="80"/>
            </w:tcMar>
            <w:vAlign w:val="top"/>
          </w:tcPr>
          <w:p>
            <w:pPr>
              <w:spacing w:after="40"/>
              <w:jc w:val="left"/>
            </w:pPr>
            <w:r>
              <w:rPr>
                <w:sz w:val="18"/>
                <w:szCs w:val="18"/>
              </w:rPr>
              <w:t xml:space="preserve">Portail documentaire de la BU (UT2J)</w:t>
            </w:r>
          </w:p>
        </w:tc>
        <w:tc>
          <w:tcPr>
            <w:tcW w:type="dxa" w:w="4338"/>
            <w:tcMar>
              <w:top w:type="dxa" w:w="60"/>
              <w:left w:type="dxa" w:w="80"/>
              <w:bottom w:type="dxa" w:w="60"/>
              <w:right w:type="dxa" w:w="80"/>
            </w:tcMar>
            <w:vAlign w:val="top"/>
          </w:tcPr>
          <w:p>
            <w:pPr>
              <w:spacing w:after="40"/>
              <w:jc w:val="left"/>
            </w:pPr>
            <w:r>
              <w:rPr>
                <w:sz w:val="18"/>
                <w:szCs w:val="18"/>
              </w:rPr>
              <w:t xml:space="preserve">Accès distant aux bases payantes : ScienceDirect (Elsevier), Emerald, Taylor &amp; Francis, SAGE, Wiley, Springer, Cairn.</w:t>
            </w:r>
          </w:p>
        </w:tc>
        <w:tc>
          <w:tcPr>
            <w:tcW w:type="dxa" w:w="3000"/>
            <w:tcMar>
              <w:top w:type="dxa" w:w="60"/>
              <w:left w:type="dxa" w:w="80"/>
              <w:bottom w:type="dxa" w:w="60"/>
              <w:right w:type="dxa" w:w="80"/>
            </w:tcMar>
            <w:vAlign w:val="top"/>
          </w:tcPr>
          <w:p>
            <w:pPr>
              <w:spacing w:after="40"/>
              <w:jc w:val="left"/>
            </w:pPr>
            <w:r>
              <w:rPr>
                <w:sz w:val="18"/>
                <w:szCs w:val="18"/>
              </w:rPr>
              <w:t xml:space="preserve">Identifiants universitaires ; passer toujours par le portail de la BU pour être reconnu comme abonné.</w:t>
            </w:r>
          </w:p>
        </w:tc>
      </w:tr>
      <w:tr>
        <w:trPr>
          <w:cantSplit/>
        </w:trPr>
        <w:tc>
          <w:tcPr>
            <w:tcW w:type="dxa" w:w="2300"/>
            <w:shd w:fill="F2F2F2" w:color="auto" w:val="clear"/>
            <w:tcMar>
              <w:top w:type="dxa" w:w="60"/>
              <w:left w:type="dxa" w:w="80"/>
              <w:bottom w:type="dxa" w:w="60"/>
              <w:right w:type="dxa" w:w="80"/>
            </w:tcMar>
            <w:vAlign w:val="top"/>
          </w:tcPr>
          <w:p>
            <w:pPr>
              <w:spacing w:after="40"/>
              <w:jc w:val="left"/>
            </w:pPr>
            <w:r>
              <w:rPr>
                <w:sz w:val="18"/>
                <w:szCs w:val="18"/>
              </w:rPr>
              <w:t xml:space="preserve">Google Scholar</w:t>
            </w:r>
          </w:p>
        </w:tc>
        <w:tc>
          <w:tcPr>
            <w:tcW w:type="dxa" w:w="4338"/>
            <w:shd w:fill="F2F2F2" w:color="auto" w:val="clear"/>
            <w:tcMar>
              <w:top w:type="dxa" w:w="60"/>
              <w:left w:type="dxa" w:w="80"/>
              <w:bottom w:type="dxa" w:w="60"/>
              <w:right w:type="dxa" w:w="80"/>
            </w:tcMar>
            <w:vAlign w:val="top"/>
          </w:tcPr>
          <w:p>
            <w:pPr>
              <w:spacing w:after="40"/>
              <w:jc w:val="left"/>
            </w:pPr>
            <w:r>
              <w:rPr>
                <w:sz w:val="18"/>
                <w:szCs w:val="18"/>
              </w:rPr>
              <w:t xml:space="preserve">Le moteur le plus large ; « Cité par » pour remonter le temps ; liens vers les PDF en accès ouvert.</w:t>
            </w:r>
          </w:p>
        </w:tc>
        <w:tc>
          <w:tcPr>
            <w:tcW w:type="dxa" w:w="3000"/>
            <w:shd w:fill="F2F2F2" w:color="auto" w:val="clear"/>
            <w:tcMar>
              <w:top w:type="dxa" w:w="60"/>
              <w:left w:type="dxa" w:w="80"/>
              <w:bottom w:type="dxa" w:w="60"/>
              <w:right w:type="dxa" w:w="80"/>
            </w:tcMar>
            <w:vAlign w:val="top"/>
          </w:tcPr>
          <w:p>
            <w:pPr>
              <w:spacing w:after="40"/>
              <w:jc w:val="left"/>
            </w:pPr>
            <w:r>
              <w:rPr>
                <w:sz w:val="18"/>
                <w:szCs w:val="18"/>
              </w:rPr>
              <w:t xml:space="preserve">scholar.google.com ; dans les paramètres, activer les liens de la bibliothèque UT2J.</w:t>
            </w:r>
          </w:p>
        </w:tc>
      </w:tr>
      <w:tr>
        <w:trPr>
          <w:cantSplit/>
        </w:trPr>
        <w:tc>
          <w:tcPr>
            <w:tcW w:type="dxa" w:w="2300"/>
            <w:tcMar>
              <w:top w:type="dxa" w:w="60"/>
              <w:left w:type="dxa" w:w="80"/>
              <w:bottom w:type="dxa" w:w="60"/>
              <w:right w:type="dxa" w:w="80"/>
            </w:tcMar>
            <w:vAlign w:val="top"/>
          </w:tcPr>
          <w:p>
            <w:pPr>
              <w:spacing w:after="40"/>
              <w:jc w:val="left"/>
            </w:pPr>
            <w:r>
              <w:rPr>
                <w:sz w:val="18"/>
                <w:szCs w:val="18"/>
              </w:rPr>
              <w:t xml:space="preserve">Cairn.info</w:t>
            </w:r>
          </w:p>
        </w:tc>
        <w:tc>
          <w:tcPr>
            <w:tcW w:type="dxa" w:w="4338"/>
            <w:tcMar>
              <w:top w:type="dxa" w:w="60"/>
              <w:left w:type="dxa" w:w="80"/>
              <w:bottom w:type="dxa" w:w="60"/>
              <w:right w:type="dxa" w:w="80"/>
            </w:tcMar>
            <w:vAlign w:val="top"/>
          </w:tcPr>
          <w:p>
            <w:pPr>
              <w:spacing w:after="40"/>
              <w:jc w:val="left"/>
            </w:pPr>
            <w:r>
              <w:rPr>
                <w:sz w:val="18"/>
                <w:szCs w:val="18"/>
              </w:rPr>
              <w:t xml:space="preserve">Revues francophones à comité de lecture (Recherche et Applications en Marketing, Décisions Marketing, Management &amp; Avenir, Revue française de gestion…).</w:t>
            </w:r>
          </w:p>
        </w:tc>
        <w:tc>
          <w:tcPr>
            <w:tcW w:type="dxa" w:w="3000"/>
            <w:tcMar>
              <w:top w:type="dxa" w:w="60"/>
              <w:left w:type="dxa" w:w="80"/>
              <w:bottom w:type="dxa" w:w="60"/>
              <w:right w:type="dxa" w:w="80"/>
            </w:tcMar>
            <w:vAlign w:val="top"/>
          </w:tcPr>
          <w:p>
            <w:pPr>
              <w:spacing w:after="40"/>
              <w:jc w:val="left"/>
            </w:pPr>
            <w:r>
              <w:rPr>
                <w:sz w:val="18"/>
                <w:szCs w:val="18"/>
              </w:rPr>
              <w:t xml:space="preserve">Via la BU.</w:t>
            </w:r>
          </w:p>
        </w:tc>
      </w:tr>
      <w:tr>
        <w:trPr>
          <w:cantSplit/>
        </w:trPr>
        <w:tc>
          <w:tcPr>
            <w:tcW w:type="dxa" w:w="2300"/>
            <w:shd w:fill="F2F2F2" w:color="auto" w:val="clear"/>
            <w:tcMar>
              <w:top w:type="dxa" w:w="60"/>
              <w:left w:type="dxa" w:w="80"/>
              <w:bottom w:type="dxa" w:w="60"/>
              <w:right w:type="dxa" w:w="80"/>
            </w:tcMar>
            <w:vAlign w:val="top"/>
          </w:tcPr>
          <w:p>
            <w:pPr>
              <w:spacing w:after="40"/>
              <w:jc w:val="left"/>
            </w:pPr>
            <w:r>
              <w:rPr>
                <w:sz w:val="18"/>
                <w:szCs w:val="18"/>
              </w:rPr>
              <w:t xml:space="preserve">ScienceDirect, Emerald, Taylor &amp; Francis</w:t>
            </w:r>
          </w:p>
        </w:tc>
        <w:tc>
          <w:tcPr>
            <w:tcW w:type="dxa" w:w="4338"/>
            <w:shd w:fill="F2F2F2" w:color="auto" w:val="clear"/>
            <w:tcMar>
              <w:top w:type="dxa" w:w="60"/>
              <w:left w:type="dxa" w:w="80"/>
              <w:bottom w:type="dxa" w:w="60"/>
              <w:right w:type="dxa" w:w="80"/>
            </w:tcMar>
            <w:vAlign w:val="top"/>
          </w:tcPr>
          <w:p>
            <w:pPr>
              <w:spacing w:after="40"/>
              <w:jc w:val="left"/>
            </w:pPr>
            <w:r>
              <w:rPr>
                <w:sz w:val="18"/>
                <w:szCs w:val="18"/>
              </w:rPr>
              <w:t xml:space="preserve">Les revues d'hôtellerie-tourisme les plus utiles : International Journal of Hospitality Management, Tourism Management, Annals of Tourism Research (Elsevier) ; International Journal of Contemporary Hospitality Management, Journal of Service Management (Emerald) ; Journal of Hospitality Marketing &amp; Management, Journal of Travel &amp; Tourism Marketing (T&amp;F).</w:t>
            </w:r>
          </w:p>
        </w:tc>
        <w:tc>
          <w:tcPr>
            <w:tcW w:type="dxa" w:w="3000"/>
            <w:shd w:fill="F2F2F2" w:color="auto" w:val="clear"/>
            <w:tcMar>
              <w:top w:type="dxa" w:w="60"/>
              <w:left w:type="dxa" w:w="80"/>
              <w:bottom w:type="dxa" w:w="60"/>
              <w:right w:type="dxa" w:w="80"/>
            </w:tcMar>
            <w:vAlign w:val="top"/>
          </w:tcPr>
          <w:p>
            <w:pPr>
              <w:spacing w:after="40"/>
              <w:jc w:val="left"/>
            </w:pPr>
            <w:r>
              <w:rPr>
                <w:sz w:val="18"/>
                <w:szCs w:val="18"/>
              </w:rPr>
              <w:t xml:space="preserve">Via la BU ; DOI en main, le lien https://doi.org/… mène directement à l'article.</w:t>
            </w:r>
          </w:p>
        </w:tc>
      </w:tr>
      <w:tr>
        <w:trPr>
          <w:cantSplit/>
        </w:trPr>
        <w:tc>
          <w:tcPr>
            <w:tcW w:type="dxa" w:w="2300"/>
            <w:tcMar>
              <w:top w:type="dxa" w:w="60"/>
              <w:left w:type="dxa" w:w="80"/>
              <w:bottom w:type="dxa" w:w="60"/>
              <w:right w:type="dxa" w:w="80"/>
            </w:tcMar>
            <w:vAlign w:val="top"/>
          </w:tcPr>
          <w:p>
            <w:pPr>
              <w:spacing w:after="40"/>
              <w:jc w:val="left"/>
            </w:pPr>
            <w:r>
              <w:rPr>
                <w:sz w:val="18"/>
                <w:szCs w:val="18"/>
              </w:rPr>
              <w:t xml:space="preserve">Accès ouvert</w:t>
            </w:r>
          </w:p>
        </w:tc>
        <w:tc>
          <w:tcPr>
            <w:tcW w:type="dxa" w:w="4338"/>
            <w:tcMar>
              <w:top w:type="dxa" w:w="60"/>
              <w:left w:type="dxa" w:w="80"/>
              <w:bottom w:type="dxa" w:w="60"/>
              <w:right w:type="dxa" w:w="80"/>
            </w:tcMar>
            <w:vAlign w:val="top"/>
          </w:tcPr>
          <w:p>
            <w:pPr>
              <w:spacing w:after="40"/>
              <w:jc w:val="left"/>
            </w:pPr>
            <w:r>
              <w:rPr>
                <w:sz w:val="18"/>
                <w:szCs w:val="18"/>
              </w:rPr>
              <w:t xml:space="preserve">HAL (hal.science) pour les auteurs français ; les revues MDPI (Sustainability…) ; PubMed Central pour certains articles ; les dépôts institutionnels (« version auteur »).</w:t>
            </w:r>
          </w:p>
        </w:tc>
        <w:tc>
          <w:tcPr>
            <w:tcW w:type="dxa" w:w="3000"/>
            <w:tcMar>
              <w:top w:type="dxa" w:w="60"/>
              <w:left w:type="dxa" w:w="80"/>
              <w:bottom w:type="dxa" w:w="60"/>
              <w:right w:type="dxa" w:w="80"/>
            </w:tcMar>
            <w:vAlign w:val="top"/>
          </w:tcPr>
          <w:p>
            <w:pPr>
              <w:spacing w:after="40"/>
              <w:jc w:val="left"/>
            </w:pPr>
            <w:r>
              <w:rPr>
                <w:sz w:val="18"/>
                <w:szCs w:val="18"/>
              </w:rPr>
              <w:t xml:space="preserve">Libre ; vérifier que la version lue est bien la version publiée ou une version auteur acceptée.</w:t>
            </w:r>
          </w:p>
        </w:tc>
      </w:tr>
    </w:tbl>
    <w:p>
      <w:pPr>
        <w:spacing w:after="120"/>
      </w:pPr>
    </w:p>
    <w:p>
      <w:pPr>
        <w:pStyle w:val="Heading2"/>
        <w:spacing w:after="120" w:before="280"/>
      </w:pPr>
      <w:r>
        <w:t xml:space="preserve">2. Les mots-clés du thème</w:t>
      </w:r>
    </w:p>
    <w:p>
      <w:pPr>
        <w:spacing w:after="120" w:line="276"/>
        <w:jc w:val="both"/>
      </w:pPr>
      <w:r>
        <w:t xml:space="preserve">Les articles sont majoritairement en anglais : cherchez en anglais, lisez avec un dictionnaire ou une aide à la traduction, fichez en français. Combinez un terme de chaque colonne.</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2500"/>
        <w:gridCol w:w="2200"/>
        <w:gridCol w:w="2638"/>
        <w:gridCol w:w="2300"/>
      </w:tblGrid>
      <w:tr>
        <w:trPr>
          <w:tblHeader/>
        </w:trPr>
        <w:tc>
          <w:tcPr>
            <w:tcW w:type="dxa" w:w="2500"/>
            <w:shd w:fill="0F6E6E" w:color="auto" w:val="clear"/>
            <w:tcMar>
              <w:top w:type="dxa" w:w="60"/>
              <w:left w:type="dxa" w:w="80"/>
              <w:bottom w:type="dxa" w:w="60"/>
              <w:right w:type="dxa" w:w="80"/>
            </w:tcMar>
            <w:vAlign w:val="center"/>
          </w:tcPr>
          <w:p>
            <w:pPr>
              <w:spacing w:after="0"/>
            </w:pPr>
            <w:r>
              <w:rPr>
                <w:b/>
                <w:bCs/>
                <w:color w:val="FFFFFF"/>
                <w:sz w:val="20"/>
                <w:szCs w:val="20"/>
              </w:rPr>
              <w:t xml:space="preserve">Objet</w:t>
            </w:r>
          </w:p>
        </w:tc>
        <w:tc>
          <w:tcPr>
            <w:tcW w:type="dxa" w:w="2200"/>
            <w:shd w:fill="0F6E6E" w:color="auto" w:val="clear"/>
            <w:tcMar>
              <w:top w:type="dxa" w:w="60"/>
              <w:left w:type="dxa" w:w="80"/>
              <w:bottom w:type="dxa" w:w="60"/>
              <w:right w:type="dxa" w:w="80"/>
            </w:tcMar>
            <w:vAlign w:val="center"/>
          </w:tcPr>
          <w:p>
            <w:pPr>
              <w:spacing w:after="0"/>
            </w:pPr>
            <w:r>
              <w:rPr>
                <w:b/>
                <w:bCs/>
                <w:color w:val="FFFFFF"/>
                <w:sz w:val="20"/>
                <w:szCs w:val="20"/>
              </w:rPr>
              <w:t xml:space="preserve">Ce que l'on explique</w:t>
            </w:r>
          </w:p>
        </w:tc>
        <w:tc>
          <w:tcPr>
            <w:tcW w:type="dxa" w:w="2638"/>
            <w:shd w:fill="0F6E6E" w:color="auto" w:val="clear"/>
            <w:tcMar>
              <w:top w:type="dxa" w:w="60"/>
              <w:left w:type="dxa" w:w="80"/>
              <w:bottom w:type="dxa" w:w="60"/>
              <w:right w:type="dxa" w:w="80"/>
            </w:tcMar>
            <w:vAlign w:val="center"/>
          </w:tcPr>
          <w:p>
            <w:pPr>
              <w:spacing w:after="0"/>
            </w:pPr>
            <w:r>
              <w:rPr>
                <w:b/>
                <w:bCs/>
                <w:color w:val="FFFFFF"/>
                <w:sz w:val="20"/>
                <w:szCs w:val="20"/>
              </w:rPr>
              <w:t xml:space="preserve">Ce qui l'explique</w:t>
            </w:r>
          </w:p>
        </w:tc>
        <w:tc>
          <w:tcPr>
            <w:tcW w:type="dxa" w:w="2300"/>
            <w:shd w:fill="0F6E6E" w:color="auto" w:val="clear"/>
            <w:tcMar>
              <w:top w:type="dxa" w:w="60"/>
              <w:left w:type="dxa" w:w="80"/>
              <w:bottom w:type="dxa" w:w="60"/>
              <w:right w:type="dxa" w:w="80"/>
            </w:tcMar>
            <w:vAlign w:val="center"/>
          </w:tcPr>
          <w:p>
            <w:pPr>
              <w:spacing w:after="0"/>
            </w:pPr>
            <w:r>
              <w:rPr>
                <w:b/>
                <w:bCs/>
                <w:color w:val="FFFFFF"/>
                <w:sz w:val="20"/>
                <w:szCs w:val="20"/>
              </w:rPr>
              <w:t xml:space="preserve">Contexte</w:t>
            </w:r>
          </w:p>
        </w:tc>
      </w:tr>
      <w:tr>
        <w:trPr>
          <w:cantSplit/>
        </w:trPr>
        <w:tc>
          <w:tcPr>
            <w:tcW w:type="dxa" w:w="2500"/>
            <w:tcMar>
              <w:top w:type="dxa" w:w="60"/>
              <w:left w:type="dxa" w:w="80"/>
              <w:bottom w:type="dxa" w:w="60"/>
              <w:right w:type="dxa" w:w="80"/>
            </w:tcMar>
            <w:vAlign w:val="top"/>
          </w:tcPr>
          <w:p>
            <w:pPr>
              <w:spacing w:after="40"/>
              <w:jc w:val="left"/>
            </w:pPr>
            <w:r>
              <w:rPr>
                <w:sz w:val="18"/>
                <w:szCs w:val="18"/>
              </w:rPr>
              <w:t xml:space="preserve">service robot, humanoid robot, social robot, robotic service, AI device, robot chef / robotic chef, robot waiter, robot receptionist, service automation</w:t>
            </w:r>
          </w:p>
        </w:tc>
        <w:tc>
          <w:tcPr>
            <w:tcW w:type="dxa" w:w="2200"/>
            <w:tcMar>
              <w:top w:type="dxa" w:w="60"/>
              <w:left w:type="dxa" w:w="80"/>
              <w:bottom w:type="dxa" w:w="60"/>
              <w:right w:type="dxa" w:w="80"/>
            </w:tcMar>
            <w:vAlign w:val="top"/>
          </w:tcPr>
          <w:p>
            <w:pPr>
              <w:spacing w:after="40"/>
              <w:jc w:val="left"/>
            </w:pPr>
            <w:r>
              <w:rPr>
                <w:sz w:val="18"/>
                <w:szCs w:val="18"/>
              </w:rPr>
              <w:t xml:space="preserve">acceptance, adoption, intention to use, willingness, attitude, revisit intention, purchase intention, trust</w:t>
            </w:r>
          </w:p>
        </w:tc>
        <w:tc>
          <w:tcPr>
            <w:tcW w:type="dxa" w:w="2638"/>
            <w:tcMar>
              <w:top w:type="dxa" w:w="60"/>
              <w:left w:type="dxa" w:w="80"/>
              <w:bottom w:type="dxa" w:w="60"/>
              <w:right w:type="dxa" w:w="80"/>
            </w:tcMar>
            <w:vAlign w:val="top"/>
          </w:tcPr>
          <w:p>
            <w:pPr>
              <w:spacing w:after="40"/>
              <w:jc w:val="left"/>
            </w:pPr>
            <w:r>
              <w:rPr>
                <w:sz w:val="18"/>
                <w:szCs w:val="18"/>
              </w:rPr>
              <w:t xml:space="preserve">anthropomorphism, perceived usefulness, hedonic motivation / enjoyment, perceived risk, privacy concern, uncanny valley, social influence, novelty, innovativeness</w:t>
            </w:r>
          </w:p>
        </w:tc>
        <w:tc>
          <w:tcPr>
            <w:tcW w:type="dxa" w:w="2300"/>
            <w:tcMar>
              <w:top w:type="dxa" w:w="60"/>
              <w:left w:type="dxa" w:w="80"/>
              <w:bottom w:type="dxa" w:w="60"/>
              <w:right w:type="dxa" w:w="80"/>
            </w:tcMar>
            <w:vAlign w:val="top"/>
          </w:tcPr>
          <w:p>
            <w:pPr>
              <w:spacing w:after="40"/>
              <w:jc w:val="left"/>
            </w:pPr>
            <w:r>
              <w:rPr>
                <w:sz w:val="18"/>
                <w:szCs w:val="18"/>
              </w:rPr>
              <w:t xml:space="preserve">hospitality, hotel, restaurant, food service, foodservice, catering, coffee shop, tourism</w:t>
            </w:r>
          </w:p>
        </w:tc>
      </w:tr>
      <w:tr>
        <w:trPr>
          <w:cantSplit/>
        </w:trPr>
        <w:tc>
          <w:tcPr>
            <w:tcW w:type="dxa" w:w="2500"/>
            <w:shd w:fill="F2F2F2" w:color="auto" w:val="clear"/>
            <w:tcMar>
              <w:top w:type="dxa" w:w="60"/>
              <w:left w:type="dxa" w:w="80"/>
              <w:bottom w:type="dxa" w:w="60"/>
              <w:right w:type="dxa" w:w="80"/>
            </w:tcMar>
            <w:vAlign w:val="top"/>
          </w:tcPr>
          <w:p>
            <w:pPr>
              <w:spacing w:after="40"/>
              <w:jc w:val="left"/>
            </w:pPr>
            <w:r>
              <w:rPr>
                <w:sz w:val="18"/>
                <w:szCs w:val="18"/>
              </w:rPr>
              <w:t xml:space="preserve">robot de service, robot humanoïde, robot social, automatisation du service</w:t>
            </w:r>
          </w:p>
        </w:tc>
        <w:tc>
          <w:tcPr>
            <w:tcW w:type="dxa" w:w="2200"/>
            <w:shd w:fill="F2F2F2" w:color="auto" w:val="clear"/>
            <w:tcMar>
              <w:top w:type="dxa" w:w="60"/>
              <w:left w:type="dxa" w:w="80"/>
              <w:bottom w:type="dxa" w:w="60"/>
              <w:right w:type="dxa" w:w="80"/>
            </w:tcMar>
            <w:vAlign w:val="top"/>
          </w:tcPr>
          <w:p>
            <w:pPr>
              <w:spacing w:after="40"/>
              <w:jc w:val="left"/>
            </w:pPr>
            <w:r>
              <w:rPr>
                <w:sz w:val="18"/>
                <w:szCs w:val="18"/>
              </w:rPr>
              <w:t xml:space="preserve">acceptation, adoption, intention d'usage, attitude, confiance</w:t>
            </w:r>
          </w:p>
        </w:tc>
        <w:tc>
          <w:tcPr>
            <w:tcW w:type="dxa" w:w="2638"/>
            <w:shd w:fill="F2F2F2" w:color="auto" w:val="clear"/>
            <w:tcMar>
              <w:top w:type="dxa" w:w="60"/>
              <w:left w:type="dxa" w:w="80"/>
              <w:bottom w:type="dxa" w:w="60"/>
              <w:right w:type="dxa" w:w="80"/>
            </w:tcMar>
            <w:vAlign w:val="top"/>
          </w:tcPr>
          <w:p>
            <w:pPr>
              <w:spacing w:after="40"/>
              <w:jc w:val="left"/>
            </w:pPr>
            <w:r>
              <w:rPr>
                <w:sz w:val="18"/>
                <w:szCs w:val="18"/>
              </w:rPr>
              <w:t xml:space="preserve">anthropomorphisme, utilité perçue, plaisir, risque perçu, vie privée, vallée de l'étrange, influence sociale</w:t>
            </w:r>
          </w:p>
        </w:tc>
        <w:tc>
          <w:tcPr>
            <w:tcW w:type="dxa" w:w="2300"/>
            <w:shd w:fill="F2F2F2" w:color="auto" w:val="clear"/>
            <w:tcMar>
              <w:top w:type="dxa" w:w="60"/>
              <w:left w:type="dxa" w:w="80"/>
              <w:bottom w:type="dxa" w:w="60"/>
              <w:right w:type="dxa" w:w="80"/>
            </w:tcMar>
            <w:vAlign w:val="top"/>
          </w:tcPr>
          <w:p>
            <w:pPr>
              <w:spacing w:after="40"/>
              <w:jc w:val="left"/>
            </w:pPr>
            <w:r>
              <w:rPr>
                <w:sz w:val="18"/>
                <w:szCs w:val="18"/>
              </w:rPr>
              <w:t xml:space="preserve">hôtellerie, hôtel, restauration, restaurant, restauration collective, tourisme</w:t>
            </w:r>
          </w:p>
        </w:tc>
      </w:tr>
    </w:tbl>
    <w:p>
      <w:pPr>
        <w:spacing w:after="120"/>
      </w:pPr>
    </w:p>
    <w:p>
      <w:pPr>
        <w:pStyle w:val="Heading3"/>
        <w:spacing w:after="80" w:before="200"/>
      </w:pPr>
      <w:r>
        <w:t xml:space="preserve">Opérateurs et astuces</w:t>
      </w:r>
    </w:p>
    <w:p>
      <w:pPr>
        <w:pStyle w:val="ListParagraph"/>
        <w:numPr>
          <w:ilvl w:val="0"/>
          <w:numId w:val="2"/>
        </w:numPr>
        <w:spacing w:after="60" w:line="276"/>
      </w:pPr>
      <w:r>
        <w:t xml:space="preserve">Guillemets pour une expression exacte : "service robot" ; opérateur OR entre synonymes : (hotel OR restaurant) ; AND pour croiser : "service robot" AND acceptance AND (hotel OR restaurant).</w:t>
      </w:r>
    </w:p>
    <w:p>
      <w:pPr>
        <w:pStyle w:val="ListParagraph"/>
        <w:numPr>
          <w:ilvl w:val="0"/>
          <w:numId w:val="2"/>
        </w:numPr>
        <w:spacing w:after="60" w:line="276"/>
      </w:pPr>
      <w:r>
        <w:t xml:space="preserve">Astérisque pour les variantes : robot* (robot, robots, robotic) ; accept* (acceptance, accepted, accepting).</w:t>
      </w:r>
    </w:p>
    <w:p>
      <w:pPr>
        <w:pStyle w:val="ListParagraph"/>
        <w:numPr>
          <w:ilvl w:val="0"/>
          <w:numId w:val="2"/>
        </w:numPr>
        <w:spacing w:after="60" w:line="276"/>
      </w:pPr>
      <w:r>
        <w:t xml:space="preserve">Limiter aux revues à comité de lecture et aux années récentes (2018 et après) dans un premier temps ; élargir ensuite aux textes fondateurs (Davis, 1989 ; Venkatesh et al., 2003 ; Mori, 1970/2012).</w:t>
      </w:r>
    </w:p>
    <w:p>
      <w:pPr>
        <w:pStyle w:val="ListParagraph"/>
        <w:numPr>
          <w:ilvl w:val="0"/>
          <w:numId w:val="2"/>
        </w:numPr>
        <w:spacing w:after="60" w:line="276"/>
      </w:pPr>
      <w:r>
        <w:t xml:space="preserve">Boule de neige arrière : la bibliographie d'un bon article contient les articles qui l'ont nourri. Boule de neige avant : « Cité par » dans Google Scholar donne ceux qui l'ont utilisé depuis.</w:t>
      </w:r>
    </w:p>
    <w:p>
      <w:pPr>
        <w:pStyle w:val="ListParagraph"/>
        <w:numPr>
          <w:ilvl w:val="0"/>
          <w:numId w:val="2"/>
        </w:numPr>
        <w:spacing w:after="60" w:line="276"/>
      </w:pPr>
      <w:r>
        <w:t xml:space="preserve">Les revues de littérature (par exemple Chi, Denton &amp; Gursoy, 2020 ; Blut et al., 2021) sont des raccourcis : une lecture, cinquante références triées.</w:t>
      </w:r>
    </w:p>
    <w:p>
      <w:pPr>
        <w:pStyle w:val="Heading2"/>
        <w:spacing w:after="120" w:before="280"/>
      </w:pPr>
      <w:r>
        <w:t xml:space="preserve">3. Trier : quatre questions avant de lire</w:t>
      </w:r>
    </w:p>
    <w:p>
      <w:pPr>
        <w:pStyle w:val="ListParagraph"/>
        <w:numPr>
          <w:ilvl w:val="0"/>
          <w:numId w:val="3"/>
        </w:numPr>
        <w:spacing w:after="60" w:line="276"/>
      </w:pPr>
      <w:r>
        <w:rPr>
          <w:b/>
          <w:bCs/>
        </w:rPr>
        <w:t xml:space="preserve">Est-ce une source scientifique ?</w:t>
      </w:r>
      <w:r>
        <w:t xml:space="preserve"> Revue à comité de lecture (le site de la revue indique « peer review »), DOI, structure introduction – littérature – méthode – résultats – discussion. Un article de presse, un livre blanc de fournisseur ou une page de blog ne sont pas des sources scientifiques (ils peuvent servir au contexte managérial de l'introduction, pas à la revue).</w:t>
      </w:r>
    </w:p>
    <w:p>
      <w:pPr>
        <w:pStyle w:val="ListParagraph"/>
        <w:numPr>
          <w:ilvl w:val="0"/>
          <w:numId w:val="3"/>
        </w:numPr>
        <w:spacing w:after="60" w:line="276"/>
      </w:pPr>
      <w:r>
        <w:rPr>
          <w:b/>
          <w:bCs/>
        </w:rPr>
        <w:t xml:space="preserve">Parle-t-il de notre Y ?</w:t>
      </w:r>
      <w:r>
        <w:t xml:space="preserve"> L'acceptation, l'intention, l'attitude envers un robot ou un dispositif automatisé.</w:t>
      </w:r>
    </w:p>
    <w:p>
      <w:pPr>
        <w:pStyle w:val="ListParagraph"/>
        <w:numPr>
          <w:ilvl w:val="0"/>
          <w:numId w:val="3"/>
        </w:numPr>
        <w:spacing w:after="60" w:line="276"/>
      </w:pPr>
      <w:r>
        <w:rPr>
          <w:b/>
          <w:bCs/>
        </w:rPr>
        <w:t xml:space="preserve">Apporte-t-il un X, une échelle ou un argument ?</w:t>
      </w:r>
      <w:r>
        <w:t xml:space="preserve"> Une variable explicative testée, une échelle de mesure, un résultat que l'on peut citer pour justifier une hypothèse.</w:t>
      </w:r>
    </w:p>
    <w:p>
      <w:pPr>
        <w:pStyle w:val="ListParagraph"/>
        <w:numPr>
          <w:ilvl w:val="0"/>
          <w:numId w:val="3"/>
        </w:numPr>
        <w:spacing w:after="60" w:line="276"/>
      </w:pPr>
      <w:r>
        <w:rPr>
          <w:b/>
          <w:bCs/>
        </w:rPr>
        <w:t xml:space="preserve">Est-il proche de notre contexte ?</w:t>
      </w:r>
      <w:r>
        <w:t xml:space="preserve"> Hôtel, restaurant, cuisine, tourisme d'abord ; commerce et services en général ensuite ; le reste seulement pour les théories.</w:t>
      </w:r>
    </w:p>
    <w:p>
      <w:pPr>
        <w:pStyle w:val="Heading2"/>
        <w:spacing w:after="120" w:before="280"/>
      </w:pPr>
      <w:r>
        <w:t xml:space="preserve">4. Lire vite : la lecture en trois passes</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2200"/>
        <w:gridCol w:w="3838"/>
        <w:gridCol w:w="3600"/>
      </w:tblGrid>
      <w:tr>
        <w:trPr>
          <w:tblHeader/>
        </w:trPr>
        <w:tc>
          <w:tcPr>
            <w:tcW w:type="dxa" w:w="2200"/>
            <w:shd w:fill="0F6E6E" w:color="auto" w:val="clear"/>
            <w:tcMar>
              <w:top w:type="dxa" w:w="60"/>
              <w:left w:type="dxa" w:w="80"/>
              <w:bottom w:type="dxa" w:w="60"/>
              <w:right w:type="dxa" w:w="80"/>
            </w:tcMar>
            <w:vAlign w:val="center"/>
          </w:tcPr>
          <w:p>
            <w:pPr>
              <w:spacing w:after="0"/>
            </w:pPr>
            <w:r>
              <w:rPr>
                <w:b/>
                <w:bCs/>
                <w:color w:val="FFFFFF"/>
                <w:sz w:val="20"/>
                <w:szCs w:val="20"/>
              </w:rPr>
              <w:t xml:space="preserve">Passe</w:t>
            </w:r>
          </w:p>
        </w:tc>
        <w:tc>
          <w:tcPr>
            <w:tcW w:type="dxa" w:w="3838"/>
            <w:shd w:fill="0F6E6E" w:color="auto" w:val="clear"/>
            <w:tcMar>
              <w:top w:type="dxa" w:w="60"/>
              <w:left w:type="dxa" w:w="80"/>
              <w:bottom w:type="dxa" w:w="60"/>
              <w:right w:type="dxa" w:w="80"/>
            </w:tcMar>
            <w:vAlign w:val="center"/>
          </w:tcPr>
          <w:p>
            <w:pPr>
              <w:spacing w:after="0"/>
            </w:pPr>
            <w:r>
              <w:rPr>
                <w:b/>
                <w:bCs/>
                <w:color w:val="FFFFFF"/>
                <w:sz w:val="20"/>
                <w:szCs w:val="20"/>
              </w:rPr>
              <w:t xml:space="preserve">Ce que l'on lit</w:t>
            </w:r>
          </w:p>
        </w:tc>
        <w:tc>
          <w:tcPr>
            <w:tcW w:type="dxa" w:w="3600"/>
            <w:shd w:fill="0F6E6E" w:color="auto" w:val="clear"/>
            <w:tcMar>
              <w:top w:type="dxa" w:w="60"/>
              <w:left w:type="dxa" w:w="80"/>
              <w:bottom w:type="dxa" w:w="60"/>
              <w:right w:type="dxa" w:w="80"/>
            </w:tcMar>
            <w:vAlign w:val="center"/>
          </w:tcPr>
          <w:p>
            <w:pPr>
              <w:spacing w:after="0"/>
            </w:pPr>
            <w:r>
              <w:rPr>
                <w:b/>
                <w:bCs/>
                <w:color w:val="FFFFFF"/>
                <w:sz w:val="20"/>
                <w:szCs w:val="20"/>
              </w:rPr>
              <w:t xml:space="preserve">Ce que l'on décide</w:t>
            </w:r>
          </w:p>
        </w:tc>
      </w:tr>
      <w:tr>
        <w:trPr>
          <w:cantSplit/>
        </w:trPr>
        <w:tc>
          <w:tcPr>
            <w:tcW w:type="dxa" w:w="2200"/>
            <w:tcMar>
              <w:top w:type="dxa" w:w="60"/>
              <w:left w:type="dxa" w:w="80"/>
              <w:bottom w:type="dxa" w:w="60"/>
              <w:right w:type="dxa" w:w="80"/>
            </w:tcMar>
            <w:vAlign w:val="top"/>
          </w:tcPr>
          <w:p>
            <w:pPr>
              <w:spacing w:after="40"/>
              <w:jc w:val="left"/>
            </w:pPr>
            <w:r>
              <w:rPr>
                <w:sz w:val="18"/>
                <w:szCs w:val="18"/>
              </w:rPr>
              <w:t xml:space="preserve">1 — cinq minutes</w:t>
            </w:r>
          </w:p>
        </w:tc>
        <w:tc>
          <w:tcPr>
            <w:tcW w:type="dxa" w:w="3838"/>
            <w:tcMar>
              <w:top w:type="dxa" w:w="60"/>
              <w:left w:type="dxa" w:w="80"/>
              <w:bottom w:type="dxa" w:w="60"/>
              <w:right w:type="dxa" w:w="80"/>
            </w:tcMar>
            <w:vAlign w:val="top"/>
          </w:tcPr>
          <w:p>
            <w:pPr>
              <w:spacing w:after="40"/>
              <w:jc w:val="left"/>
            </w:pPr>
            <w:r>
              <w:rPr>
                <w:sz w:val="18"/>
                <w:szCs w:val="18"/>
              </w:rPr>
              <w:t xml:space="preserve">Titre, résumé, mots-clés, figure du modèle, conclusion.</w:t>
            </w:r>
          </w:p>
        </w:tc>
        <w:tc>
          <w:tcPr>
            <w:tcW w:type="dxa" w:w="3600"/>
            <w:tcMar>
              <w:top w:type="dxa" w:w="60"/>
              <w:left w:type="dxa" w:w="80"/>
              <w:bottom w:type="dxa" w:w="60"/>
              <w:right w:type="dxa" w:w="80"/>
            </w:tcMar>
            <w:vAlign w:val="top"/>
          </w:tcPr>
          <w:p>
            <w:pPr>
              <w:spacing w:after="40"/>
              <w:jc w:val="left"/>
            </w:pPr>
            <w:r>
              <w:rPr>
                <w:sz w:val="18"/>
                <w:szCs w:val="18"/>
              </w:rPr>
              <w:t xml:space="preserve">Garder ou écarter. Si l'on garde : noter Y, X et le contexte dans la matrice.</w:t>
            </w:r>
          </w:p>
        </w:tc>
      </w:tr>
      <w:tr>
        <w:trPr>
          <w:cantSplit/>
        </w:trPr>
        <w:tc>
          <w:tcPr>
            <w:tcW w:type="dxa" w:w="2200"/>
            <w:shd w:fill="F2F2F2" w:color="auto" w:val="clear"/>
            <w:tcMar>
              <w:top w:type="dxa" w:w="60"/>
              <w:left w:type="dxa" w:w="80"/>
              <w:bottom w:type="dxa" w:w="60"/>
              <w:right w:type="dxa" w:w="80"/>
            </w:tcMar>
            <w:vAlign w:val="top"/>
          </w:tcPr>
          <w:p>
            <w:pPr>
              <w:spacing w:after="40"/>
              <w:jc w:val="left"/>
            </w:pPr>
            <w:r>
              <w:rPr>
                <w:sz w:val="18"/>
                <w:szCs w:val="18"/>
              </w:rPr>
              <w:t xml:space="preserve">2 — vingt minutes</w:t>
            </w:r>
          </w:p>
        </w:tc>
        <w:tc>
          <w:tcPr>
            <w:tcW w:type="dxa" w:w="3838"/>
            <w:shd w:fill="F2F2F2" w:color="auto" w:val="clear"/>
            <w:tcMar>
              <w:top w:type="dxa" w:w="60"/>
              <w:left w:type="dxa" w:w="80"/>
              <w:bottom w:type="dxa" w:w="60"/>
              <w:right w:type="dxa" w:w="80"/>
            </w:tcMar>
            <w:vAlign w:val="top"/>
          </w:tcPr>
          <w:p>
            <w:pPr>
              <w:spacing w:after="40"/>
              <w:jc w:val="left"/>
            </w:pPr>
            <w:r>
              <w:rPr>
                <w:sz w:val="18"/>
                <w:szCs w:val="18"/>
              </w:rPr>
              <w:t xml:space="preserve">Introduction, hypothèses, tableau des résultats, discussion.</w:t>
            </w:r>
          </w:p>
        </w:tc>
        <w:tc>
          <w:tcPr>
            <w:tcW w:type="dxa" w:w="3600"/>
            <w:shd w:fill="F2F2F2" w:color="auto" w:val="clear"/>
            <w:tcMar>
              <w:top w:type="dxa" w:w="60"/>
              <w:left w:type="dxa" w:w="80"/>
              <w:bottom w:type="dxa" w:w="60"/>
              <w:right w:type="dxa" w:w="80"/>
            </w:tcMar>
            <w:vAlign w:val="top"/>
          </w:tcPr>
          <w:p>
            <w:pPr>
              <w:spacing w:after="40"/>
              <w:jc w:val="left"/>
            </w:pPr>
            <w:r>
              <w:rPr>
                <w:sz w:val="18"/>
                <w:szCs w:val="18"/>
              </w:rPr>
              <w:t xml:space="preserve">Remplir les rubriques 1 à 9 de la fiche de lecture.</w:t>
            </w:r>
          </w:p>
        </w:tc>
      </w:tr>
      <w:tr>
        <w:trPr>
          <w:cantSplit/>
        </w:trPr>
        <w:tc>
          <w:tcPr>
            <w:tcW w:type="dxa" w:w="2200"/>
            <w:tcMar>
              <w:top w:type="dxa" w:w="60"/>
              <w:left w:type="dxa" w:w="80"/>
              <w:bottom w:type="dxa" w:w="60"/>
              <w:right w:type="dxa" w:w="80"/>
            </w:tcMar>
            <w:vAlign w:val="top"/>
          </w:tcPr>
          <w:p>
            <w:pPr>
              <w:spacing w:after="40"/>
              <w:jc w:val="left"/>
            </w:pPr>
            <w:r>
              <w:rPr>
                <w:sz w:val="18"/>
                <w:szCs w:val="18"/>
              </w:rPr>
              <w:t xml:space="preserve">3 — une heure, pour les articles centraux</w:t>
            </w:r>
          </w:p>
        </w:tc>
        <w:tc>
          <w:tcPr>
            <w:tcW w:type="dxa" w:w="3838"/>
            <w:tcMar>
              <w:top w:type="dxa" w:w="60"/>
              <w:left w:type="dxa" w:w="80"/>
              <w:bottom w:type="dxa" w:w="60"/>
              <w:right w:type="dxa" w:w="80"/>
            </w:tcMar>
            <w:vAlign w:val="top"/>
          </w:tcPr>
          <w:p>
            <w:pPr>
              <w:spacing w:after="40"/>
              <w:jc w:val="left"/>
            </w:pPr>
            <w:r>
              <w:rPr>
                <w:sz w:val="18"/>
                <w:szCs w:val="18"/>
              </w:rPr>
              <w:t xml:space="preserve">Méthode en détail, annexe des échelles, limites, bibliographie.</w:t>
            </w:r>
          </w:p>
        </w:tc>
        <w:tc>
          <w:tcPr>
            <w:tcW w:type="dxa" w:w="3600"/>
            <w:tcMar>
              <w:top w:type="dxa" w:w="60"/>
              <w:left w:type="dxa" w:w="80"/>
              <w:bottom w:type="dxa" w:w="60"/>
              <w:right w:type="dxa" w:w="80"/>
            </w:tcMar>
            <w:vAlign w:val="top"/>
          </w:tcPr>
          <w:p>
            <w:pPr>
              <w:spacing w:after="40"/>
              <w:jc w:val="left"/>
            </w:pPr>
            <w:r>
              <w:rPr>
                <w:sz w:val="18"/>
                <w:szCs w:val="18"/>
              </w:rPr>
              <w:t xml:space="preserve">Compléter les rubriques 10 à 14 ; relever les items des échelles ; lancer la boule de neige.</w:t>
            </w:r>
          </w:p>
        </w:tc>
      </w:tr>
    </w:tbl>
    <w:p>
      <w:pPr>
        <w:spacing w:after="120"/>
      </w:pPr>
    </w:p>
    <w:p>
      <w:pPr>
        <w:pStyle w:val="Heading2"/>
        <w:spacing w:after="120" w:before="280"/>
      </w:pPr>
      <w:r>
        <w:t xml:space="preserve">5. Organiser : Zotero et le journal de recherche</w:t>
      </w:r>
    </w:p>
    <w:p>
      <w:pPr>
        <w:pStyle w:val="ListParagraph"/>
        <w:numPr>
          <w:ilvl w:val="0"/>
          <w:numId w:val="2"/>
        </w:numPr>
        <w:spacing w:after="60" w:line="276"/>
      </w:pPr>
      <w:r>
        <w:rPr>
          <w:b/>
          <w:bCs/>
        </w:rPr>
        <w:t xml:space="preserve">Zotero</w:t>
      </w:r>
      <w:r>
        <w:t xml:space="preserve"> (gratuit, zotero.org) : le connecteur de navigateur enregistre l'article et son PDF en un clic ; une collection par groupe, partagée entre les membres ; des marqueurs pour le contexte (hôtel, restaurant, cuisine) et pour les variables (anthropomorphisme, risque…) ; la bibliographie se génère automatiquement dans le style demandé pour le dossier.</w:t>
      </w:r>
    </w:p>
    <w:p>
      <w:pPr>
        <w:pStyle w:val="ListParagraph"/>
        <w:numPr>
          <w:ilvl w:val="0"/>
          <w:numId w:val="2"/>
        </w:numPr>
        <w:spacing w:after="60" w:line="276"/>
      </w:pPr>
      <w:r>
        <w:rPr>
          <w:b/>
          <w:bCs/>
        </w:rPr>
        <w:t xml:space="preserve">Le journal de recherche</w:t>
      </w:r>
      <w:r>
        <w:t xml:space="preserve"> : un tableau tenu par le groupe — date, base interrogée, requête exacte, nombre de résultats, articles retenus. Il évite de refaire deux fois la même recherche et il se retrouve, résumé, dans la partie méthodologie du dossier (« la revue de littérature s'appuie sur… »).</w:t>
      </w:r>
    </w:p>
    <w:p>
      <w:pPr>
        <w:pStyle w:val="ListParagraph"/>
        <w:numPr>
          <w:ilvl w:val="0"/>
          <w:numId w:val="2"/>
        </w:numPr>
        <w:spacing w:after="60" w:line="276"/>
      </w:pPr>
      <w:r>
        <w:rPr>
          <w:b/>
          <w:bCs/>
        </w:rPr>
        <w:t xml:space="preserve">Nommer les fichiers</w:t>
      </w:r>
      <w:r>
        <w:t xml:space="preserve"> : Auteur_Année_MotDuTitre.pdf (Seo_2021_ServiceRobotsRestaurants.pdf).</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Pr>
      <w:tblGrid>
        <w:gridCol w:w="1300"/>
        <w:gridCol w:w="1700"/>
        <w:gridCol w:w="3238"/>
        <w:gridCol w:w="1200"/>
        <w:gridCol w:w="2200"/>
      </w:tblGrid>
      <w:tr>
        <w:trPr>
          <w:tblHeader/>
        </w:trPr>
        <w:tc>
          <w:tcPr>
            <w:tcW w:type="dxa" w:w="1300"/>
            <w:shd w:fill="0F6E6E" w:color="auto" w:val="clear"/>
            <w:tcMar>
              <w:top w:type="dxa" w:w="60"/>
              <w:left w:type="dxa" w:w="80"/>
              <w:bottom w:type="dxa" w:w="60"/>
              <w:right w:type="dxa" w:w="80"/>
            </w:tcMar>
            <w:vAlign w:val="center"/>
          </w:tcPr>
          <w:p>
            <w:pPr>
              <w:spacing w:after="0"/>
            </w:pPr>
            <w:r>
              <w:rPr>
                <w:b/>
                <w:bCs/>
                <w:color w:val="FFFFFF"/>
                <w:sz w:val="20"/>
                <w:szCs w:val="20"/>
              </w:rPr>
              <w:t xml:space="preserve">Date</w:t>
            </w:r>
          </w:p>
        </w:tc>
        <w:tc>
          <w:tcPr>
            <w:tcW w:type="dxa" w:w="1700"/>
            <w:shd w:fill="0F6E6E" w:color="auto" w:val="clear"/>
            <w:tcMar>
              <w:top w:type="dxa" w:w="60"/>
              <w:left w:type="dxa" w:w="80"/>
              <w:bottom w:type="dxa" w:w="60"/>
              <w:right w:type="dxa" w:w="80"/>
            </w:tcMar>
            <w:vAlign w:val="center"/>
          </w:tcPr>
          <w:p>
            <w:pPr>
              <w:spacing w:after="0"/>
            </w:pPr>
            <w:r>
              <w:rPr>
                <w:b/>
                <w:bCs/>
                <w:color w:val="FFFFFF"/>
                <w:sz w:val="20"/>
                <w:szCs w:val="20"/>
              </w:rPr>
              <w:t xml:space="preserve">Base</w:t>
            </w:r>
          </w:p>
        </w:tc>
        <w:tc>
          <w:tcPr>
            <w:tcW w:type="dxa" w:w="3238"/>
            <w:shd w:fill="0F6E6E" w:color="auto" w:val="clear"/>
            <w:tcMar>
              <w:top w:type="dxa" w:w="60"/>
              <w:left w:type="dxa" w:w="80"/>
              <w:bottom w:type="dxa" w:w="60"/>
              <w:right w:type="dxa" w:w="80"/>
            </w:tcMar>
            <w:vAlign w:val="center"/>
          </w:tcPr>
          <w:p>
            <w:pPr>
              <w:spacing w:after="0"/>
            </w:pPr>
            <w:r>
              <w:rPr>
                <w:b/>
                <w:bCs/>
                <w:color w:val="FFFFFF"/>
                <w:sz w:val="20"/>
                <w:szCs w:val="20"/>
              </w:rPr>
              <w:t xml:space="preserve">Requête exacte</w:t>
            </w:r>
          </w:p>
        </w:tc>
        <w:tc>
          <w:tcPr>
            <w:tcW w:type="dxa" w:w="1200"/>
            <w:shd w:fill="0F6E6E" w:color="auto" w:val="clear"/>
            <w:tcMar>
              <w:top w:type="dxa" w:w="60"/>
              <w:left w:type="dxa" w:w="80"/>
              <w:bottom w:type="dxa" w:w="60"/>
              <w:right w:type="dxa" w:w="80"/>
            </w:tcMar>
            <w:vAlign w:val="center"/>
          </w:tcPr>
          <w:p>
            <w:pPr>
              <w:spacing w:after="0"/>
            </w:pPr>
            <w:r>
              <w:rPr>
                <w:b/>
                <w:bCs/>
                <w:color w:val="FFFFFF"/>
                <w:sz w:val="20"/>
                <w:szCs w:val="20"/>
              </w:rPr>
              <w:t xml:space="preserve">Résultats</w:t>
            </w:r>
          </w:p>
        </w:tc>
        <w:tc>
          <w:tcPr>
            <w:tcW w:type="dxa" w:w="2200"/>
            <w:shd w:fill="0F6E6E" w:color="auto" w:val="clear"/>
            <w:tcMar>
              <w:top w:type="dxa" w:w="60"/>
              <w:left w:type="dxa" w:w="80"/>
              <w:bottom w:type="dxa" w:w="60"/>
              <w:right w:type="dxa" w:w="80"/>
            </w:tcMar>
            <w:vAlign w:val="center"/>
          </w:tcPr>
          <w:p>
            <w:pPr>
              <w:spacing w:after="0"/>
            </w:pPr>
            <w:r>
              <w:rPr>
                <w:b/>
                <w:bCs/>
                <w:color w:val="FFFFFF"/>
                <w:sz w:val="20"/>
                <w:szCs w:val="20"/>
              </w:rPr>
              <w:t xml:space="preserve">Retenus (Auteur, année)</w:t>
            </w:r>
          </w:p>
        </w:tc>
      </w:tr>
      <w:tr>
        <w:trPr>
          <w:cantSplit/>
        </w:trPr>
        <w:tc>
          <w:tcPr>
            <w:tcW w:type="dxa" w:w="1300"/>
            <w:tcMar>
              <w:top w:type="dxa" w:w="60"/>
              <w:left w:type="dxa" w:w="80"/>
              <w:bottom w:type="dxa" w:w="60"/>
              <w:right w:type="dxa" w:w="80"/>
            </w:tcMar>
            <w:vAlign w:val="top"/>
          </w:tcPr>
          <w:p>
            <w:pPr>
              <w:spacing w:after="40"/>
              <w:jc w:val="left"/>
            </w:pPr>
          </w:p>
        </w:tc>
        <w:tc>
          <w:tcPr>
            <w:tcW w:type="dxa" w:w="1700"/>
            <w:tcMar>
              <w:top w:type="dxa" w:w="60"/>
              <w:left w:type="dxa" w:w="80"/>
              <w:bottom w:type="dxa" w:w="60"/>
              <w:right w:type="dxa" w:w="80"/>
            </w:tcMar>
            <w:vAlign w:val="top"/>
          </w:tcPr>
          <w:p>
            <w:pPr>
              <w:spacing w:after="40"/>
              <w:jc w:val="left"/>
            </w:pPr>
          </w:p>
        </w:tc>
        <w:tc>
          <w:tcPr>
            <w:tcW w:type="dxa" w:w="3238"/>
            <w:tcMar>
              <w:top w:type="dxa" w:w="60"/>
              <w:left w:type="dxa" w:w="80"/>
              <w:bottom w:type="dxa" w:w="60"/>
              <w:right w:type="dxa" w:w="80"/>
            </w:tcMar>
            <w:vAlign w:val="top"/>
          </w:tcPr>
          <w:p>
            <w:pPr>
              <w:spacing w:after="40"/>
              <w:jc w:val="left"/>
            </w:pPr>
          </w:p>
        </w:tc>
        <w:tc>
          <w:tcPr>
            <w:tcW w:type="dxa" w:w="1200"/>
            <w:tcMar>
              <w:top w:type="dxa" w:w="60"/>
              <w:left w:type="dxa" w:w="80"/>
              <w:bottom w:type="dxa" w:w="60"/>
              <w:right w:type="dxa" w:w="80"/>
            </w:tcMar>
            <w:vAlign w:val="top"/>
          </w:tcPr>
          <w:p>
            <w:pPr>
              <w:spacing w:after="40"/>
              <w:jc w:val="left"/>
            </w:pPr>
          </w:p>
        </w:tc>
        <w:tc>
          <w:tcPr>
            <w:tcW w:type="dxa" w:w="2200"/>
            <w:tcMar>
              <w:top w:type="dxa" w:w="60"/>
              <w:left w:type="dxa" w:w="80"/>
              <w:bottom w:type="dxa" w:w="60"/>
              <w:right w:type="dxa" w:w="80"/>
            </w:tcMar>
            <w:vAlign w:val="top"/>
          </w:tcPr>
          <w:p>
            <w:pPr>
              <w:spacing w:after="40"/>
              <w:jc w:val="left"/>
            </w:pPr>
          </w:p>
        </w:tc>
      </w:tr>
      <w:tr>
        <w:trPr>
          <w:cantSplit/>
        </w:trPr>
        <w:tc>
          <w:tcPr>
            <w:tcW w:type="dxa" w:w="1300"/>
            <w:tcMar>
              <w:top w:type="dxa" w:w="60"/>
              <w:left w:type="dxa" w:w="80"/>
              <w:bottom w:type="dxa" w:w="60"/>
              <w:right w:type="dxa" w:w="80"/>
            </w:tcMar>
            <w:vAlign w:val="top"/>
          </w:tcPr>
          <w:p>
            <w:pPr>
              <w:spacing w:after="40"/>
              <w:jc w:val="left"/>
            </w:pPr>
          </w:p>
        </w:tc>
        <w:tc>
          <w:tcPr>
            <w:tcW w:type="dxa" w:w="1700"/>
            <w:tcMar>
              <w:top w:type="dxa" w:w="60"/>
              <w:left w:type="dxa" w:w="80"/>
              <w:bottom w:type="dxa" w:w="60"/>
              <w:right w:type="dxa" w:w="80"/>
            </w:tcMar>
            <w:vAlign w:val="top"/>
          </w:tcPr>
          <w:p>
            <w:pPr>
              <w:spacing w:after="40"/>
              <w:jc w:val="left"/>
            </w:pPr>
          </w:p>
        </w:tc>
        <w:tc>
          <w:tcPr>
            <w:tcW w:type="dxa" w:w="3238"/>
            <w:tcMar>
              <w:top w:type="dxa" w:w="60"/>
              <w:left w:type="dxa" w:w="80"/>
              <w:bottom w:type="dxa" w:w="60"/>
              <w:right w:type="dxa" w:w="80"/>
            </w:tcMar>
            <w:vAlign w:val="top"/>
          </w:tcPr>
          <w:p>
            <w:pPr>
              <w:spacing w:after="40"/>
              <w:jc w:val="left"/>
            </w:pPr>
          </w:p>
        </w:tc>
        <w:tc>
          <w:tcPr>
            <w:tcW w:type="dxa" w:w="1200"/>
            <w:tcMar>
              <w:top w:type="dxa" w:w="60"/>
              <w:left w:type="dxa" w:w="80"/>
              <w:bottom w:type="dxa" w:w="60"/>
              <w:right w:type="dxa" w:w="80"/>
            </w:tcMar>
            <w:vAlign w:val="top"/>
          </w:tcPr>
          <w:p>
            <w:pPr>
              <w:spacing w:after="40"/>
              <w:jc w:val="left"/>
            </w:pPr>
          </w:p>
        </w:tc>
        <w:tc>
          <w:tcPr>
            <w:tcW w:type="dxa" w:w="2200"/>
            <w:tcMar>
              <w:top w:type="dxa" w:w="60"/>
              <w:left w:type="dxa" w:w="80"/>
              <w:bottom w:type="dxa" w:w="60"/>
              <w:right w:type="dxa" w:w="80"/>
            </w:tcMar>
            <w:vAlign w:val="top"/>
          </w:tcPr>
          <w:p>
            <w:pPr>
              <w:spacing w:after="40"/>
              <w:jc w:val="left"/>
            </w:pPr>
          </w:p>
        </w:tc>
      </w:tr>
      <w:tr>
        <w:trPr>
          <w:cantSplit/>
        </w:trPr>
        <w:tc>
          <w:tcPr>
            <w:tcW w:type="dxa" w:w="1300"/>
            <w:tcMar>
              <w:top w:type="dxa" w:w="60"/>
              <w:left w:type="dxa" w:w="80"/>
              <w:bottom w:type="dxa" w:w="60"/>
              <w:right w:type="dxa" w:w="80"/>
            </w:tcMar>
            <w:vAlign w:val="top"/>
          </w:tcPr>
          <w:p>
            <w:pPr>
              <w:spacing w:after="40"/>
              <w:jc w:val="left"/>
            </w:pPr>
          </w:p>
        </w:tc>
        <w:tc>
          <w:tcPr>
            <w:tcW w:type="dxa" w:w="1700"/>
            <w:tcMar>
              <w:top w:type="dxa" w:w="60"/>
              <w:left w:type="dxa" w:w="80"/>
              <w:bottom w:type="dxa" w:w="60"/>
              <w:right w:type="dxa" w:w="80"/>
            </w:tcMar>
            <w:vAlign w:val="top"/>
          </w:tcPr>
          <w:p>
            <w:pPr>
              <w:spacing w:after="40"/>
              <w:jc w:val="left"/>
            </w:pPr>
          </w:p>
        </w:tc>
        <w:tc>
          <w:tcPr>
            <w:tcW w:type="dxa" w:w="3238"/>
            <w:tcMar>
              <w:top w:type="dxa" w:w="60"/>
              <w:left w:type="dxa" w:w="80"/>
              <w:bottom w:type="dxa" w:w="60"/>
              <w:right w:type="dxa" w:w="80"/>
            </w:tcMar>
            <w:vAlign w:val="top"/>
          </w:tcPr>
          <w:p>
            <w:pPr>
              <w:spacing w:after="40"/>
              <w:jc w:val="left"/>
            </w:pPr>
          </w:p>
        </w:tc>
        <w:tc>
          <w:tcPr>
            <w:tcW w:type="dxa" w:w="1200"/>
            <w:tcMar>
              <w:top w:type="dxa" w:w="60"/>
              <w:left w:type="dxa" w:w="80"/>
              <w:bottom w:type="dxa" w:w="60"/>
              <w:right w:type="dxa" w:w="80"/>
            </w:tcMar>
            <w:vAlign w:val="top"/>
          </w:tcPr>
          <w:p>
            <w:pPr>
              <w:spacing w:after="40"/>
              <w:jc w:val="left"/>
            </w:pPr>
          </w:p>
        </w:tc>
        <w:tc>
          <w:tcPr>
            <w:tcW w:type="dxa" w:w="2200"/>
            <w:tcMar>
              <w:top w:type="dxa" w:w="60"/>
              <w:left w:type="dxa" w:w="80"/>
              <w:bottom w:type="dxa" w:w="60"/>
              <w:right w:type="dxa" w:w="80"/>
            </w:tcMar>
            <w:vAlign w:val="top"/>
          </w:tcPr>
          <w:p>
            <w:pPr>
              <w:spacing w:after="40"/>
              <w:jc w:val="left"/>
            </w:pPr>
          </w:p>
        </w:tc>
      </w:tr>
    </w:tbl>
    <w:p>
      <w:pPr>
        <w:spacing w:after="120"/>
      </w:pPr>
    </w:p>
    <w:p>
      <w:pPr>
        <w:pStyle w:val="Heading2"/>
        <w:spacing w:after="120" w:before="280"/>
      </w:pPr>
      <w:r>
        <w:t xml:space="preserve">6. Citer et référencer</w:t>
      </w:r>
    </w:p>
    <w:p>
      <w:pPr>
        <w:spacing w:after="120" w:line="276"/>
        <w:jc w:val="both"/>
      </w:pPr>
      <w:r>
        <w:t xml:space="preserve">Dans le texte : (Gursoy et al., 2019) ; deux auteurs : (Seo &amp; Lee, 2021) ; avec la page pour une citation : (Wirtz et al., 2018, p. 910). En bibliographie, le format demandé par le document de consignes du dossier ; Zotero le produit avec le style « Le tapuscrit » ou APA 7, à ne pas modifier à la main.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0F6E6E" w:sz="6"/>
              <w:left w:val="single" w:color="0F6E6E" w:sz="6"/>
              <w:bottom w:val="single" w:color="0F6E6E" w:sz="6"/>
              <w:right w:val="single" w:color="0F6E6E" w:sz="6"/>
            </w:tcBorders>
            <w:shd w:fill="EAF4F3" w:color="auto" w:val="clear"/>
            <w:tcMar>
              <w:top w:type="dxa" w:w="120"/>
              <w:left w:type="dxa" w:w="160"/>
              <w:bottom w:type="dxa" w:w="120"/>
              <w:right w:type="dxa" w:w="160"/>
            </w:tcMar>
          </w:tcPr>
          <w:p>
            <w:pPr>
              <w:spacing w:after="60"/>
            </w:pPr>
            <w:r>
              <w:rPr>
                <w:b/>
                <w:bCs/>
                <w:color w:val="0F6E6E"/>
              </w:rPr>
              <w:t xml:space="preserve">Trois règles qui ne souffrent pas d'exception</w:t>
            </w:r>
          </w:p>
          <w:p>
            <w:pPr>
              <w:spacing w:after="60" w:line="276"/>
            </w:pPr>
            <w:r>
              <w:t xml:space="preserve">Toute référence citée a été </w:t>
            </w:r>
            <w:r>
              <w:rPr>
                <w:b/>
                <w:bCs/>
              </w:rPr>
              <w:t xml:space="preserve">lue</w:t>
            </w:r>
            <w:r>
              <w:t xml:space="preserve"> (au moins en première passe) et </w:t>
            </w:r>
            <w:r>
              <w:rPr>
                <w:b/>
                <w:bCs/>
              </w:rPr>
              <w:t xml:space="preserve">vérifiée</w:t>
            </w:r>
            <w:r>
              <w:t xml:space="preserve"> : le DOI mène à l'article.</w:t>
            </w:r>
          </w:p>
          <w:p>
            <w:pPr>
              <w:spacing w:after="60" w:line="276"/>
            </w:pPr>
            <w:r>
              <w:t xml:space="preserve">Une phrase reprise mot à mot est entre guillemets, avec la page ; une idée reformulée porte la référence.</w:t>
            </w:r>
          </w:p>
          <w:p>
            <w:pPr>
              <w:spacing w:after="60" w:line="276"/>
            </w:pPr>
            <w:r>
              <w:t xml:space="preserve">Une référence proposée par un outil d'IA n'existe pas tant que vous ne l'avez pas ouverte.</w:t>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8"/>
        <w:szCs w:val="18"/>
      </w:rPr>
      <w:t xml:space="preserve">Guide de recherche documentaire  —  page </w:t>
    </w:r>
    <w:r>
      <w:rPr>
        <w:color w:val="8080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8"/>
        <w:szCs w:val="18"/>
      </w:rPr>
      <w:t xml:space="preserve">DRA 2026-2027 — L3 MHR / L3 MRC en alternance — ISTHIA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20" w:hanging="260"/>
      </w:pPr>
    </w:lvl>
  </w:abstractNum>
  <w:abstractNum w:abstractNumId="3" w15:restartNumberingAfterBreak="0">
    <w:multiLevelType w:val="hybridMultilevel"/>
    <w:lvl w:ilvl="0" w15:tentative="1">
      <w:start w:val="1"/>
      <w:numFmt w:val="decimal"/>
      <w:lvlText w:val="%1."/>
      <w:lvlJc w:val="left"/>
      <w:pPr>
        <w:ind w:left="52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00"/>
      <w:outlineLvl w:val="0"/>
    </w:pPr>
    <w:rPr>
      <w:rFonts w:ascii="Calibri" w:cs="Calibri" w:eastAsia="Calibri" w:hAnsi="Calibri"/>
      <w:b/>
      <w:bCs/>
      <w:color w:val="0F6E6E"/>
      <w:sz w:val="32"/>
      <w:szCs w:val="32"/>
    </w:rPr>
  </w:style>
  <w:style w:type="paragraph" w:styleId="Heading2">
    <w:name w:val="Heading 2"/>
    <w:basedOn w:val="Normal"/>
    <w:next w:val="Normal"/>
    <w:qFormat/>
    <w:pPr>
      <w:spacing w:after="100" w:before="240"/>
      <w:outlineLvl w:val="1"/>
    </w:pPr>
    <w:rPr>
      <w:rFonts w:ascii="Calibri" w:cs="Calibri" w:eastAsia="Calibri" w:hAnsi="Calibri"/>
      <w:b/>
      <w:bCs/>
      <w:color w:val="0B4F4F"/>
      <w:sz w:val="26"/>
      <w:szCs w:val="26"/>
    </w:rPr>
  </w:style>
  <w:style w:type="paragraph" w:styleId="Heading3">
    <w:name w:val="Heading 3"/>
    <w:basedOn w:val="Normal"/>
    <w:next w:val="Normal"/>
    <w:qFormat/>
    <w:pPr>
      <w:spacing w:after="60" w:before="180"/>
      <w:outlineLvl w:val="2"/>
    </w:pPr>
    <w:rPr>
      <w:rFonts w:ascii="Calibri" w:cs="Calibri" w:eastAsia="Calibri" w:hAnsi="Calibri"/>
      <w:b/>
      <w:bCs/>
      <w:color w:val="40404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 Bories</dc:creator>
  <cp:lastModifiedBy>Un-named</cp:lastModifiedBy>
  <cp:revision>1</cp:revision>
  <dcterms:created xsi:type="dcterms:W3CDTF">2026-09-06T11:50:26.572Z</dcterms:created>
  <dcterms:modified xsi:type="dcterms:W3CDTF">2026-09-06T11:50:26.572Z</dcterms:modified>
</cp:coreProperties>
</file>

<file path=docProps/custom.xml><?xml version="1.0" encoding="utf-8"?>
<Properties xmlns="http://schemas.openxmlformats.org/officeDocument/2006/custom-properties" xmlns:vt="http://schemas.openxmlformats.org/officeDocument/2006/docPropsVTypes"/>
</file>