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E30613"/>
          <w:spacing w:val="30"/>
          <w:sz w:val="16"/>
          <w:szCs w:val="16"/>
        </w:rPr>
        <w:t xml:space="preserve">M1 MIRC • MARKETING ALIMENTAIRE • 2026-2027</w:t>
      </w:r>
    </w:p>
    <w:p>
      <w:pPr>
        <w:spacing w:after="80"/>
      </w:pPr>
      <w:r>
        <w:rPr>
          <w:rFonts w:ascii="Arial" w:cs="Arial" w:eastAsia="Arial" w:hAnsi="Arial"/>
          <w:b/>
          <w:bCs/>
          <w:color w:val="2E6071"/>
          <w:sz w:val="40"/>
          <w:szCs w:val="40"/>
        </w:rPr>
        <w:t xml:space="preserve">CAS GFI — CAP MARCHÉ 2027</w:t>
      </w:r>
    </w:p>
    <w:p>
      <w:pPr>
        <w:spacing w:after="60" w:before="0" w:line="276"/>
        <w:jc w:val="left"/>
      </w:pPr>
      <w:r>
        <w:rPr>
          <w:rFonts w:ascii="Arial" w:cs="Arial" w:eastAsia="Arial" w:hAnsi="Arial"/>
          <w:color w:val="25282B"/>
          <w:sz w:val="24"/>
          <w:szCs w:val="24"/>
        </w:rPr>
        <w:t xml:space="preserve">Concevoir trois agents IA marketing en restauration collective avec n8n</w:t>
      </w:r>
    </w:p>
    <w:p>
      <w:pPr>
        <w:spacing w:after="120" w:before="0" w:line="276"/>
        <w:jc w:val="both"/>
      </w:pPr>
      <w:r>
        <w:rPr>
          <w:rFonts w:ascii="Arial" w:cs="Arial" w:eastAsia="Arial" w:hAnsi="Arial"/>
          <w:i/>
          <w:iCs/>
          <w:color w:val="6D7175"/>
          <w:sz w:val="18"/>
          <w:szCs w:val="18"/>
        </w:rPr>
        <w:t xml:space="preserve">Cas entièrement fictif conçu pour l'enseignement. Toute ressemblance avec une entreprise, une collectivité ou une personne existante serait fortuite. Données 100 % simulées.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2E6071" w:sz="6"/>
              <w:left w:val="single" w:color="2E6071" w:sz="24"/>
              <w:bottom w:val="single" w:color="2E6071" w:sz="6"/>
              <w:right w:val="single" w:color="2E6071" w:sz="6"/>
            </w:tcBorders>
            <w:shd w:fill="EEF2F3" w:color="auto" w:val="clear"/>
            <w:tcMar>
              <w:top w:type="dxa" w:w="120"/>
              <w:left w:type="dxa" w:w="180"/>
              <w:bottom w:type="dxa" w:w="120"/>
              <w:right w:type="dxa" w:w="180"/>
            </w:tcMar>
          </w:tcPr>
          <w:p>
            <w:pPr>
              <w:spacing w:after="60"/>
            </w:pPr>
            <w:r>
              <w:rPr>
                <w:rFonts w:ascii="Arial" w:cs="Arial" w:eastAsia="Arial" w:hAnsi="Arial"/>
                <w:b/>
                <w:bCs/>
                <w:color w:val="2E6071"/>
                <w:sz w:val="20"/>
                <w:szCs w:val="20"/>
              </w:rPr>
              <w:t xml:space="preserve">Votre rôle</w:t>
            </w:r>
          </w:p>
          <w:p>
            <w:pPr>
              <w:spacing w:after="60" w:line="264"/>
              <w:jc w:val="both"/>
            </w:pPr>
            <w:r>
              <w:rPr>
                <w:rFonts w:ascii="Arial" w:cs="Arial" w:eastAsia="Arial" w:hAnsi="Arial"/>
                <w:color w:val="171A1C"/>
                <w:sz w:val="19"/>
                <w:szCs w:val="19"/>
              </w:rPr>
              <w:t xml:space="preserve">Vous êtes une équipe de consultants marketing &amp; IA missionnée par Garonne Food &amp; Institutions (GFI). Votre objectif n'est pas de « faire un chatbot », mais de construire trois assistants intégrés à des processus marketing réels, traçables et contrôlés par un humain — à partir de données d'entreprise telles qu'elles existent vraiment : hétérogènes, incomplètes et parfois fausses.</w:t>
            </w:r>
          </w:p>
        </w:tc>
      </w:tr>
    </w:tbl>
    <w:p>
      <w:pPr>
        <w:spacing w:after="120"/>
      </w:pPr>
    </w:p>
    <w:p>
      <w:pPr>
        <w:pStyle w:val="Heading1"/>
        <w:keepNext/>
        <w:spacing w:after="160" w:before="360"/>
      </w:pPr>
      <w:r>
        <w:rPr>
          <w:rFonts w:ascii="Arial" w:cs="Arial" w:eastAsia="Arial" w:hAnsi="Arial"/>
          <w:b/>
          <w:bCs/>
          <w:color w:val="2E6071"/>
          <w:sz w:val="30"/>
          <w:szCs w:val="30"/>
        </w:rPr>
        <w:t xml:space="preserve">1. Le contexte</w:t>
      </w:r>
    </w:p>
    <w:p>
      <w:pPr>
        <w:spacing w:after="120" w:before="0" w:line="276"/>
        <w:jc w:val="both"/>
      </w:pPr>
      <w:r>
        <w:rPr>
          <w:rFonts w:ascii="Arial" w:cs="Arial" w:eastAsia="Arial" w:hAnsi="Arial"/>
          <w:color w:val="171A1C"/>
          <w:sz w:val="21"/>
          <w:szCs w:val="21"/>
        </w:rPr>
        <w:t xml:space="preserve">GFI est une entreprise fictive de restauration collective qui gère 34 sites et sert environ 8 200 déjeuners par jour en Occitanie : 18 sites scolaires (16 écoles et 2 collèges), 8 restaurants d'entreprise ou administratifs et 8 établissements médico-sociaux. Elle réalise environ 10,2 M€ de chiffre d'affaires avec 138 salariés, deux cuisines centrales et douze tournées de livraison. Vingt-et-un de ses contrats sont des marchés publics, treize sont des contrats privés : son marketing est donc à la fois BtoA (commande publique) et BtoB, avec plusieurs parties prenantes — acheteur, prescripteurs, usagers, familles — qui n'ont pas les mêmes attentes.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4241"/>
        <w:gridCol w:w="3662"/>
      </w:tblGrid>
      <w:tr>
        <w:trPr>
          <w:tblHeader/>
        </w:trPr>
        <w:tc>
          <w:tcPr>
            <w:tcW w:type="dxa" w:w="1735"/>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Élément</w:t>
            </w:r>
          </w:p>
        </w:tc>
        <w:tc>
          <w:tcPr>
            <w:tcW w:type="dxa" w:w="4241"/>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Situation GFI</w:t>
            </w:r>
          </w:p>
        </w:tc>
        <w:tc>
          <w:tcPr>
            <w:tcW w:type="dxa" w:w="3662"/>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Enjeu marketing</w:t>
            </w:r>
          </w:p>
        </w:tc>
      </w:tr>
      <w:tr>
        <w:tc>
          <w:tcPr>
            <w:tcW w:type="dxa" w:w="173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Développement</w:t>
            </w:r>
          </w:p>
        </w:tc>
        <w:tc>
          <w:tcPr>
            <w:tcW w:type="dxa" w:w="424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Une nouvelle consultation publique « Val d'Aurine » (2 450 déjeuners/jour) est stratégique ; quatre renouvellements sont à préparer en 2027</w:t>
            </w:r>
          </w:p>
        </w:tc>
        <w:tc>
          <w:tcPr>
            <w:tcW w:type="dxa" w:w="366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Lire l'opportunité, comprendre les critères, rapprocher les exigences des capacités et préparer les preuves</w:t>
            </w:r>
          </w:p>
        </w:tc>
      </w:tr>
      <w:tr>
        <w:tc>
          <w:tcPr>
            <w:tcW w:type="dxa" w:w="173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Relation usagers</w:t>
            </w:r>
          </w:p>
        </w:tc>
        <w:tc>
          <w:tcPr>
            <w:tcW w:type="dxa" w:w="424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253 messages reçus en sept semaines via six canaux et trois boîtes mail ; aucune taxonomie ; environ 15 % sans réponse à J+10</w:t>
            </w:r>
          </w:p>
        </w:tc>
        <w:tc>
          <w:tcPr>
            <w:tcW w:type="dxa" w:w="366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Transformer les verbatims en traitement priorisé, en escalade sûre et en insight</w:t>
            </w:r>
          </w:p>
        </w:tc>
      </w:tr>
      <w:tr>
        <w:tc>
          <w:tcPr>
            <w:tcW w:type="dxa" w:w="173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Offre</w:t>
            </w:r>
          </w:p>
        </w:tc>
        <w:tc>
          <w:tcPr>
            <w:tcW w:type="dxa" w:w="424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486 pesées de restes sur 24 sites, trois méthodes de mesure, données de fréquentation quotidiennes peu exploitées</w:t>
            </w:r>
          </w:p>
        </w:tc>
        <w:tc>
          <w:tcPr>
            <w:tcW w:type="dxa" w:w="366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Relier acceptation, gaspillage, contexte et tests d'amélioration</w:t>
            </w:r>
          </w:p>
        </w:tc>
      </w:tr>
      <w:tr>
        <w:tc>
          <w:tcPr>
            <w:tcW w:type="dxa" w:w="173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IA</w:t>
            </w:r>
          </w:p>
        </w:tc>
        <w:tc>
          <w:tcPr>
            <w:tcW w:type="dxa" w:w="424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Charte IA : pilotes autorisés avec validation humaine, aucune décision autonome</w:t>
            </w:r>
          </w:p>
        </w:tc>
        <w:tc>
          <w:tcPr>
            <w:tcW w:type="dxa" w:w="366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Automatiser l'assistance sans déléguer la décision</w:t>
            </w:r>
          </w:p>
        </w:tc>
      </w:tr>
    </w:tbl>
    <w:p>
      <w:pPr>
        <w:pStyle w:val="Heading1"/>
        <w:keepNext/>
        <w:spacing w:after="160" w:before="360"/>
      </w:pPr>
      <w:r>
        <w:rPr>
          <w:rFonts w:ascii="Arial" w:cs="Arial" w:eastAsia="Arial" w:hAnsi="Arial"/>
          <w:b/>
          <w:bCs/>
          <w:color w:val="2E6071"/>
          <w:sz w:val="30"/>
          <w:szCs w:val="30"/>
        </w:rPr>
        <w:t xml:space="preserve">2. L'opportunité « Val d'Aurine »</w:t>
      </w:r>
    </w:p>
    <w:p>
      <w:pPr>
        <w:spacing w:after="120" w:before="0" w:line="276"/>
        <w:jc w:val="both"/>
      </w:pPr>
      <w:r>
        <w:rPr>
          <w:rFonts w:ascii="Arial" w:cs="Arial" w:eastAsia="Arial" w:hAnsi="Arial"/>
          <w:color w:val="171A1C"/>
          <w:sz w:val="21"/>
          <w:szCs w:val="21"/>
        </w:rPr>
        <w:t xml:space="preserve">La Communauté d'agglomération Val d'Aurine (collectivité fictive) lance une consultation pour la restauration de six groupes scolaires et de deux accueils de loisirs. Le dossier de consultation fourni (DCE_fictif_Val_d_Aurine.docx) reproduit la logique d'un règlement de consultation et d'un CCTP ; il ne constitue pas un document juridique réel.</w:t>
      </w:r>
    </w:p>
    <w:p>
      <w:pPr>
        <w:pStyle w:val="ListParagraph"/>
        <w:numPr>
          <w:ilvl w:val="0"/>
          <w:numId w:val="2"/>
        </w:numPr>
        <w:spacing w:after="60" w:line="264"/>
        <w:jc w:val="both"/>
      </w:pPr>
      <w:r>
        <w:rPr>
          <w:rFonts w:ascii="Arial" w:cs="Arial" w:eastAsia="Arial" w:hAnsi="Arial"/>
          <w:color w:val="171A1C"/>
          <w:sz w:val="21"/>
          <w:szCs w:val="21"/>
        </w:rPr>
        <w:t xml:space="preserve">Environ 2 450 déjeuners par jour scolaire et 380 les mercredis et vacances ; contrat de 36 mois reconductible 12 mois à compter du 1er septembre 2027.</w:t>
      </w:r>
    </w:p>
    <w:p>
      <w:pPr>
        <w:pStyle w:val="ListParagraph"/>
        <w:numPr>
          <w:ilvl w:val="0"/>
          <w:numId w:val="2"/>
        </w:numPr>
        <w:spacing w:after="60" w:line="264"/>
        <w:jc w:val="both"/>
      </w:pPr>
      <w:r>
        <w:rPr>
          <w:rFonts w:ascii="Arial" w:cs="Arial" w:eastAsia="Arial" w:hAnsi="Arial"/>
          <w:color w:val="171A1C"/>
          <w:sz w:val="21"/>
          <w:szCs w:val="21"/>
        </w:rPr>
        <w:t xml:space="preserve">Remise des offres le vendredi 8 janvier 2027 à 12 h ; questions possibles jusqu'au 18 décembre 2026 ; visites de site les 24 novembre et 1er décembre.</w:t>
      </w:r>
    </w:p>
    <w:p>
      <w:pPr>
        <w:pStyle w:val="ListParagraph"/>
        <w:numPr>
          <w:ilvl w:val="0"/>
          <w:numId w:val="2"/>
        </w:numPr>
        <w:spacing w:after="60" w:line="264"/>
        <w:jc w:val="both"/>
      </w:pPr>
      <w:r>
        <w:rPr>
          <w:rFonts w:ascii="Arial" w:cs="Arial" w:eastAsia="Arial" w:hAnsi="Arial"/>
          <w:color w:val="171A1C"/>
          <w:sz w:val="21"/>
          <w:szCs w:val="21"/>
        </w:rPr>
        <w:t xml:space="preserve">Critères : valeur technique 45 %, prix 30 %, transition alimentaire 15 %, performance contractuelle 10 %. La valeur technique pèse davantage que le seul prix.</w:t>
      </w:r>
    </w:p>
    <w:p>
      <w:pPr>
        <w:pStyle w:val="ListParagraph"/>
        <w:numPr>
          <w:ilvl w:val="0"/>
          <w:numId w:val="2"/>
        </w:numPr>
        <w:spacing w:after="60" w:line="264"/>
        <w:jc w:val="both"/>
      </w:pPr>
      <w:r>
        <w:rPr>
          <w:rFonts w:ascii="Arial" w:cs="Arial" w:eastAsia="Arial" w:hAnsi="Arial"/>
          <w:color w:val="171A1C"/>
          <w:sz w:val="21"/>
          <w:szCs w:val="21"/>
        </w:rPr>
        <w:t xml:space="preserve">GFI possède des atouts (continuité de service, offre végétarienne, animations) mais aussi des zones de faiblesse : relation usagers peu industrialisée, achats durables sous les seuils EGAlim, preuves fournisseurs incomplètes, méthodes de pesée non harmonisées.</w:t>
      </w:r>
    </w:p>
    <w:p>
      <w:pPr>
        <w:pStyle w:val="ListParagraph"/>
        <w:numPr>
          <w:ilvl w:val="0"/>
          <w:numId w:val="2"/>
        </w:numPr>
        <w:spacing w:after="60" w:line="264"/>
        <w:jc w:val="both"/>
      </w:pPr>
      <w:r>
        <w:rPr>
          <w:rFonts w:ascii="Arial" w:cs="Arial" w:eastAsia="Arial" w:hAnsi="Arial"/>
          <w:color w:val="171A1C"/>
          <w:sz w:val="21"/>
          <w:szCs w:val="21"/>
        </w:rPr>
        <w:t xml:space="preserve">Le titulaire actuel est un concurrent ; GFI n'est pas en position de renouvellement.</w:t>
      </w:r>
    </w:p>
    <w:p>
      <w:pPr>
        <w:pStyle w:val="Heading1"/>
        <w:keepNext/>
        <w:spacing w:after="160" w:before="360"/>
      </w:pPr>
      <w:r>
        <w:rPr>
          <w:rFonts w:ascii="Arial" w:cs="Arial" w:eastAsia="Arial" w:hAnsi="Arial"/>
          <w:b/>
          <w:bCs/>
          <w:color w:val="2E6071"/>
          <w:sz w:val="30"/>
          <w:szCs w:val="30"/>
        </w:rPr>
        <w:t xml:space="preserve">3. La mission : trois agents complémentaires</w:t>
      </w:r>
    </w:p>
    <w:p>
      <w:pPr>
        <w:pStyle w:val="Heading2"/>
        <w:keepNext/>
        <w:spacing w:after="120" w:before="240"/>
      </w:pPr>
      <w:r>
        <w:rPr>
          <w:rFonts w:ascii="Arial" w:cs="Arial" w:eastAsia="Arial" w:hAnsi="Arial"/>
          <w:b/>
          <w:bCs/>
          <w:color w:val="25282B"/>
          <w:sz w:val="24"/>
          <w:szCs w:val="24"/>
        </w:rPr>
        <w:t xml:space="preserve">Agent 1 — Tender Radar / Lecture BtoA</w:t>
      </w:r>
    </w:p>
    <w:p>
      <w:pPr>
        <w:spacing w:after="120" w:before="0" w:line="276"/>
        <w:jc w:val="both"/>
      </w:pPr>
      <w:r>
        <w:rPr>
          <w:rFonts w:ascii="Arial" w:cs="Arial" w:eastAsia="Arial" w:hAnsi="Arial"/>
          <w:color w:val="171A1C"/>
          <w:sz w:val="21"/>
          <w:szCs w:val="21"/>
        </w:rPr>
        <w:t xml:space="preserve">Analyse le dossier de consultation (règlement, clauses du CCTP, calendrier) et le profil de GFI (capacités, preuves documentaires, achats, menu proposé). Il extrait les critères, les attentes et les preuves à fournir, rapproche ces attentes des capacités de GFI, signale les informations manquantes, les contradictions et les ambiguïtés, et génère une liste de questions à poser à l'acheteur. Il ne prend jamais de décision go/no-go, ne donne aucun avis juridique et ne « valide » jamais une conformité.</w:t>
      </w:r>
    </w:p>
    <w:p>
      <w:pPr>
        <w:pStyle w:val="Heading2"/>
        <w:keepNext/>
        <w:spacing w:after="120" w:before="240"/>
      </w:pPr>
      <w:r>
        <w:rPr>
          <w:rFonts w:ascii="Arial" w:cs="Arial" w:eastAsia="Arial" w:hAnsi="Arial"/>
          <w:b/>
          <w:bCs/>
          <w:color w:val="25282B"/>
          <w:sz w:val="24"/>
          <w:szCs w:val="24"/>
        </w:rPr>
        <w:t xml:space="preserve">Agent 2 — Voice Router / Voix des usagers</w:t>
      </w:r>
    </w:p>
    <w:p>
      <w:pPr>
        <w:spacing w:after="120" w:before="0" w:line="276"/>
        <w:jc w:val="both"/>
      </w:pPr>
      <w:r>
        <w:rPr>
          <w:rFonts w:ascii="Arial" w:cs="Arial" w:eastAsia="Arial" w:hAnsi="Arial"/>
          <w:color w:val="171A1C"/>
          <w:sz w:val="21"/>
          <w:szCs w:val="21"/>
        </w:rPr>
        <w:t xml:space="preserve">Classe les messages par catégorie (taxonomie fournie), sensibilité et thème marketing, résume le problème, prépare un brouillon de réponse interne conforme à la charte de ton, détecte les instructions hostiles et escalade les cas sensibles. Il n'envoie jamais de réponse automatiquement. Ses sorties agrégées alimentent la synthèse trimestrielle demandée par les clients.</w:t>
      </w:r>
    </w:p>
    <w:p>
      <w:pPr>
        <w:pStyle w:val="Heading2"/>
        <w:keepNext/>
        <w:spacing w:after="120" w:before="240"/>
      </w:pPr>
      <w:r>
        <w:rPr>
          <w:rFonts w:ascii="Arial" w:cs="Arial" w:eastAsia="Arial" w:hAnsi="Arial"/>
          <w:b/>
          <w:bCs/>
          <w:color w:val="25282B"/>
          <w:sz w:val="24"/>
          <w:szCs w:val="24"/>
        </w:rPr>
        <w:t xml:space="preserve">Agent 3 — Offer Lab / Offre &amp; gaspillage</w:t>
      </w:r>
    </w:p>
    <w:p>
      <w:pPr>
        <w:spacing w:after="120" w:before="0" w:line="276"/>
        <w:jc w:val="both"/>
      </w:pPr>
      <w:r>
        <w:rPr>
          <w:rFonts w:ascii="Arial" w:cs="Arial" w:eastAsia="Arial" w:hAnsi="Arial"/>
          <w:color w:val="171A1C"/>
          <w:sz w:val="21"/>
          <w:szCs w:val="21"/>
        </w:rPr>
        <w:t xml:space="preserve">Croise pesées de restes, fréquentation, référentiel des plats, satisfaction et commentaires terrain. Il nettoie d'abord les données (unités, doublons, valeurs manquantes, identifiants), produit ensuite des constats, puis des hypothèses, puis des tests marketing mesurables. Il ne modifie jamais un menu ou une portion automatiquement et ne transforme jamais une corrélation en causalité.</w:t>
      </w:r>
    </w:p>
    <w:p>
      <w:pPr>
        <w:pStyle w:val="Heading1"/>
        <w:keepNext/>
        <w:spacing w:after="160" w:before="360"/>
      </w:pPr>
      <w:r>
        <w:rPr>
          <w:rFonts w:ascii="Arial" w:cs="Arial" w:eastAsia="Arial" w:hAnsi="Arial"/>
          <w:b/>
          <w:bCs/>
          <w:color w:val="2E6071"/>
          <w:sz w:val="30"/>
          <w:szCs w:val="30"/>
        </w:rPr>
        <w:t xml:space="preserve">4. Données et documents fournis</w:t>
      </w:r>
    </w:p>
    <w:p>
      <w:pPr>
        <w:spacing w:after="120" w:before="0" w:line="276"/>
        <w:jc w:val="both"/>
      </w:pPr>
      <w:r>
        <w:rPr>
          <w:rFonts w:ascii="Arial" w:cs="Arial" w:eastAsia="Arial" w:hAnsi="Arial"/>
          <w:color w:val="171A1C"/>
          <w:sz w:val="21"/>
          <w:szCs w:val="21"/>
        </w:rPr>
        <w:t xml:space="preserve">Le dossier étudiant est autonome : toutes les données nécessaires sont fournies. Aucune donnée réelle ne doit y être ajoutée.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5205"/>
        <w:gridCol w:w="1542"/>
      </w:tblGrid>
      <w:tr>
        <w:trPr>
          <w:tblHeader/>
        </w:trPr>
        <w:tc>
          <w:tcPr>
            <w:tcW w:type="dxa" w:w="2891"/>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Fichier</w:t>
            </w:r>
          </w:p>
        </w:tc>
        <w:tc>
          <w:tcPr>
            <w:tcW w:type="dxa" w:w="5205"/>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Contenu</w:t>
            </w:r>
          </w:p>
        </w:tc>
        <w:tc>
          <w:tcPr>
            <w:tcW w:type="dxa" w:w="1542"/>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Agents concernés</w:t>
            </w:r>
          </w:p>
        </w:tc>
      </w:tr>
      <w:tr>
        <w:tc>
          <w:tcPr>
            <w:tcW w:type="dxa" w:w="28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DCE_fictif_Val_d_Aurine.docx</w:t>
            </w:r>
          </w:p>
        </w:tc>
        <w:tc>
          <w:tcPr>
            <w:tcW w:type="dxa" w:w="520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Règlement de consultation, 34 clauses de CCTP, liste des sites, calendrier, cadre de réponse, modèle de tableau de bord, rappel des fréquences nutritionnelles (10 pages)</w:t>
            </w:r>
          </w:p>
        </w:tc>
        <w:tc>
          <w:tcPr>
            <w:tcW w:type="dxa" w:w="154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Agent 1</w:t>
            </w:r>
          </w:p>
        </w:tc>
      </w:tr>
      <w:tr>
        <w:tc>
          <w:tcPr>
            <w:tcW w:type="dxa" w:w="289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M1_MIRC_Donnees_GFI_Agents_IA.xlsx</w:t>
            </w:r>
          </w:p>
        </w:tc>
        <w:tc>
          <w:tcPr>
            <w:tcW w:type="dxa" w:w="520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Classeur de 23 onglets : Lisez_moi, Dictionnaire_Donnees, Profil_GFI, Sites (34), Pipeline_Consultations (14), AO_VdA_RC (20), AO_VdA_CCTP (34), AO_VdA_Menu_propose (10), Capacites_GFI (16), Preuves_Documentaires (30), Fournisseurs_Achats (40), Menus (40), Cycle_Menus (56), Frequentation (1 156), Restes (486), Messages (253), Incidents_Qualite (32), Enquetes_Satisfaction (28), Reporting_Mensuel (34), Taxonomie_Messages, Regles_Sensibilite, Charte_ton, Tests_etudiants</w:t>
            </w:r>
          </w:p>
        </w:tc>
        <w:tc>
          <w:tcPr>
            <w:tcW w:type="dxa" w:w="154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Agents 1, 2 et 3</w:t>
            </w:r>
          </w:p>
        </w:tc>
      </w:tr>
      <w:tr>
        <w:tc>
          <w:tcPr>
            <w:tcW w:type="dxa" w:w="28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Donnees_GFI_CSV/</w:t>
            </w:r>
          </w:p>
        </w:tc>
        <w:tc>
          <w:tcPr>
            <w:tcW w:type="dxa" w:w="520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Les mêmes données en 19 fichiers CSV (UTF-8, séparateur virgule, dates ISO) pour l'ingestion dans n8n</w:t>
            </w:r>
          </w:p>
        </w:tc>
        <w:tc>
          <w:tcPr>
            <w:tcW w:type="dxa" w:w="154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Tous</w:t>
            </w:r>
          </w:p>
        </w:tc>
      </w:tr>
      <w:tr>
        <w:tc>
          <w:tcPr>
            <w:tcW w:type="dxa" w:w="289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n8n_starters/</w:t>
            </w:r>
          </w:p>
        </w:tc>
        <w:tc>
          <w:tcPr>
            <w:tcW w:type="dxa" w:w="520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docker-compose.yml, prompts système de départ, schémas JSON de sortie, README d'installation</w:t>
            </w:r>
          </w:p>
        </w:tc>
        <w:tc>
          <w:tcPr>
            <w:tcW w:type="dxa" w:w="154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Tous</w:t>
            </w:r>
          </w:p>
        </w:tc>
      </w:tr>
    </w:tbl>
    <w:p>
      <w:pPr>
        <w:pStyle w:val="Heading3"/>
        <w:keepNext/>
        <w:spacing w:after="80" w:before="180"/>
      </w:pPr>
      <w:r>
        <w:rPr>
          <w:rFonts w:ascii="Arial" w:cs="Arial" w:eastAsia="Arial" w:hAnsi="Arial"/>
          <w:b/>
          <w:bCs/>
          <w:color w:val="4E8B8F"/>
          <w:sz w:val="22"/>
          <w:szCs w:val="22"/>
        </w:rPr>
        <w:t xml:space="preserve">Par où commencer</w:t>
      </w:r>
    </w:p>
    <w:p>
      <w:pPr>
        <w:pStyle w:val="ListParagraph"/>
        <w:numPr>
          <w:ilvl w:val="0"/>
          <w:numId w:val="2"/>
        </w:numPr>
        <w:spacing w:after="60" w:line="264"/>
        <w:jc w:val="both"/>
      </w:pPr>
      <w:r>
        <w:rPr>
          <w:rFonts w:ascii="Arial" w:cs="Arial" w:eastAsia="Arial" w:hAnsi="Arial"/>
          <w:b/>
          <w:bCs/>
          <w:color w:val="171A1C"/>
          <w:sz w:val="21"/>
          <w:szCs w:val="21"/>
        </w:rPr>
        <w:t xml:space="preserve">Agent 1 : </w:t>
      </w:r>
      <w:r>
        <w:rPr>
          <w:rFonts w:ascii="Arial" w:cs="Arial" w:eastAsia="Arial" w:hAnsi="Arial"/>
          <w:color w:val="171A1C"/>
          <w:sz w:val="21"/>
          <w:szCs w:val="21"/>
        </w:rPr>
        <w:t xml:space="preserve">AO_VdA_RC et AO_VdA_CCTP (ce que demande l'acheteur) ; Capacites_GFI, Preuves_Documentaires, Fournisseurs_Achats et AO_VdA_Menu_propose (ce que GFI peut prouver). Le DCE Word contient le même contenu en texte continu.</w:t>
      </w:r>
    </w:p>
    <w:p>
      <w:pPr>
        <w:pStyle w:val="ListParagraph"/>
        <w:numPr>
          <w:ilvl w:val="0"/>
          <w:numId w:val="2"/>
        </w:numPr>
        <w:spacing w:after="60" w:line="264"/>
        <w:jc w:val="both"/>
      </w:pPr>
      <w:r>
        <w:rPr>
          <w:rFonts w:ascii="Arial" w:cs="Arial" w:eastAsia="Arial" w:hAnsi="Arial"/>
          <w:b/>
          <w:bCs/>
          <w:color w:val="171A1C"/>
          <w:sz w:val="21"/>
          <w:szCs w:val="21"/>
        </w:rPr>
        <w:t xml:space="preserve">Agent 2 : </w:t>
      </w:r>
      <w:r>
        <w:rPr>
          <w:rFonts w:ascii="Arial" w:cs="Arial" w:eastAsia="Arial" w:hAnsi="Arial"/>
          <w:color w:val="171A1C"/>
          <w:sz w:val="21"/>
          <w:szCs w:val="21"/>
        </w:rPr>
        <w:t xml:space="preserve">Messages (verbatims bruts avec canal, profil, site, statut de traitement), Taxonomie_Messages, Regles_Sensibilite, Charte_ton ; Incidents_Qualite pour rattacher un message à un incident connu.</w:t>
      </w:r>
    </w:p>
    <w:p>
      <w:pPr>
        <w:pStyle w:val="ListParagraph"/>
        <w:numPr>
          <w:ilvl w:val="0"/>
          <w:numId w:val="2"/>
        </w:numPr>
        <w:spacing w:after="60" w:line="264"/>
        <w:jc w:val="both"/>
      </w:pPr>
      <w:r>
        <w:rPr>
          <w:rFonts w:ascii="Arial" w:cs="Arial" w:eastAsia="Arial" w:hAnsi="Arial"/>
          <w:b/>
          <w:bCs/>
          <w:color w:val="171A1C"/>
          <w:sz w:val="21"/>
          <w:szCs w:val="21"/>
        </w:rPr>
        <w:t xml:space="preserve">Agent 3 : </w:t>
      </w:r>
      <w:r>
        <w:rPr>
          <w:rFonts w:ascii="Arial" w:cs="Arial" w:eastAsia="Arial" w:hAnsi="Arial"/>
          <w:color w:val="171A1C"/>
          <w:sz w:val="21"/>
          <w:szCs w:val="21"/>
        </w:rPr>
        <w:t xml:space="preserve">Restes, Frequentation, Menus, Cycle_Menus, Sites (méthode et fréquence de pesée), Enquetes_Satisfaction ; Reporting_Mensuel montre ce que le client reçoit aujourd'hui.</w:t>
      </w:r>
    </w:p>
    <w:p>
      <w:pPr>
        <w:pStyle w:val="ListParagraph"/>
        <w:numPr>
          <w:ilvl w:val="0"/>
          <w:numId w:val="2"/>
        </w:numPr>
        <w:spacing w:after="60" w:line="264"/>
        <w:jc w:val="both"/>
      </w:pPr>
      <w:r>
        <w:rPr>
          <w:rFonts w:ascii="Arial" w:cs="Arial" w:eastAsia="Arial" w:hAnsi="Arial"/>
          <w:b/>
          <w:bCs/>
          <w:color w:val="171A1C"/>
          <w:sz w:val="21"/>
          <w:szCs w:val="21"/>
        </w:rPr>
        <w:t xml:space="preserve">Tous : </w:t>
      </w:r>
      <w:r>
        <w:rPr>
          <w:rFonts w:ascii="Arial" w:cs="Arial" w:eastAsia="Arial" w:hAnsi="Arial"/>
          <w:color w:val="171A1C"/>
          <w:sz w:val="21"/>
          <w:szCs w:val="21"/>
        </w:rPr>
        <w:t xml:space="preserve">Lisez_moi et Dictionnaire_Donnees avant toute chose. Les données contiennent des anomalies volontaires ; les détecter fait partie du travail.</w:t>
      </w:r>
    </w:p>
    <w:p>
      <w:pPr>
        <w:pStyle w:val="Heading1"/>
        <w:keepNext/>
        <w:spacing w:after="160" w:before="360"/>
      </w:pPr>
      <w:r>
        <w:rPr>
          <w:rFonts w:ascii="Arial" w:cs="Arial" w:eastAsia="Arial" w:hAnsi="Arial"/>
          <w:b/>
          <w:bCs/>
          <w:color w:val="2E6071"/>
          <w:sz w:val="30"/>
          <w:szCs w:val="30"/>
        </w:rPr>
        <w:t xml:space="preserve">5. Contraintes techniques</w:t>
      </w:r>
    </w:p>
    <w:p>
      <w:pPr>
        <w:pStyle w:val="ListParagraph"/>
        <w:numPr>
          <w:ilvl w:val="0"/>
          <w:numId w:val="2"/>
        </w:numPr>
        <w:spacing w:after="60" w:line="264"/>
        <w:jc w:val="both"/>
      </w:pPr>
      <w:r>
        <w:rPr>
          <w:rFonts w:ascii="Arial" w:cs="Arial" w:eastAsia="Arial" w:hAnsi="Arial"/>
          <w:color w:val="171A1C"/>
          <w:sz w:val="21"/>
          <w:szCs w:val="21"/>
        </w:rPr>
        <w:t xml:space="preserve">n8n est l'outil d'orchestration imposé. Installation locale recommandée (Docker) ; VPS accepté si le groupe le maîtrise déjà. Aucun avantage de note pour un VPS.</w:t>
      </w:r>
    </w:p>
    <w:p>
      <w:pPr>
        <w:pStyle w:val="ListParagraph"/>
        <w:numPr>
          <w:ilvl w:val="0"/>
          <w:numId w:val="2"/>
        </w:numPr>
        <w:spacing w:after="60" w:line="264"/>
        <w:jc w:val="both"/>
      </w:pPr>
      <w:r>
        <w:rPr>
          <w:rFonts w:ascii="Arial" w:cs="Arial" w:eastAsia="Arial" w:hAnsi="Arial"/>
          <w:color w:val="171A1C"/>
          <w:sz w:val="21"/>
          <w:szCs w:val="21"/>
        </w:rPr>
        <w:t xml:space="preserve">Le fournisseur de LLM est libre, sous réserve de respecter les règles de l'établissement et de ne jamais utiliser de données personnelles réelles.</w:t>
      </w:r>
    </w:p>
    <w:p>
      <w:pPr>
        <w:pStyle w:val="ListParagraph"/>
        <w:numPr>
          <w:ilvl w:val="0"/>
          <w:numId w:val="2"/>
        </w:numPr>
        <w:spacing w:after="60" w:line="264"/>
        <w:jc w:val="both"/>
      </w:pPr>
      <w:r>
        <w:rPr>
          <w:rFonts w:ascii="Arial" w:cs="Arial" w:eastAsia="Arial" w:hAnsi="Arial"/>
          <w:color w:val="171A1C"/>
          <w:sz w:val="21"/>
          <w:szCs w:val="21"/>
        </w:rPr>
        <w:t xml:space="preserve">Les sorties nécessaires au routage doivent être structurées (JSON ou champs normalisés) et contrôlées dans le workflow (parser, validation de schéma, valeurs autorisées).</w:t>
      </w:r>
    </w:p>
    <w:p>
      <w:pPr>
        <w:pStyle w:val="ListParagraph"/>
        <w:numPr>
          <w:ilvl w:val="0"/>
          <w:numId w:val="2"/>
        </w:numPr>
        <w:spacing w:after="60" w:line="264"/>
        <w:jc w:val="both"/>
      </w:pPr>
      <w:r>
        <w:rPr>
          <w:rFonts w:ascii="Arial" w:cs="Arial" w:eastAsia="Arial" w:hAnsi="Arial"/>
          <w:color w:val="171A1C"/>
          <w:sz w:val="21"/>
          <w:szCs w:val="21"/>
        </w:rPr>
        <w:t xml:space="preserve">Les clés API et secrets ne doivent jamais apparaître dans les exports, captures ou fichiers remis.</w:t>
      </w:r>
    </w:p>
    <w:p>
      <w:pPr>
        <w:pStyle w:val="ListParagraph"/>
        <w:numPr>
          <w:ilvl w:val="0"/>
          <w:numId w:val="2"/>
        </w:numPr>
        <w:spacing w:after="60" w:line="264"/>
        <w:jc w:val="both"/>
      </w:pPr>
      <w:r>
        <w:rPr>
          <w:rFonts w:ascii="Arial" w:cs="Arial" w:eastAsia="Arial" w:hAnsi="Arial"/>
          <w:color w:val="171A1C"/>
          <w:sz w:val="21"/>
          <w:szCs w:val="21"/>
        </w:rPr>
        <w:t xml:space="preserve">Les règles critiques doivent être garanties par le workflow autant que possible : branche IF/Switch, validation humaine, format contrôlé, journalisation.</w:t>
      </w:r>
    </w:p>
    <w:p>
      <w:pPr>
        <w:pStyle w:val="ListParagraph"/>
        <w:numPr>
          <w:ilvl w:val="0"/>
          <w:numId w:val="2"/>
        </w:numPr>
        <w:spacing w:after="60" w:line="264"/>
        <w:jc w:val="both"/>
      </w:pPr>
      <w:r>
        <w:rPr>
          <w:rFonts w:ascii="Arial" w:cs="Arial" w:eastAsia="Arial" w:hAnsi="Arial"/>
          <w:color w:val="171A1C"/>
          <w:sz w:val="21"/>
          <w:szCs w:val="21"/>
        </w:rPr>
        <w:t xml:space="preserve">Un agent peut suggérer, classer, extraire, nettoyer et préparer. Il ne décide pas à la place du responsable.</w:t>
      </w:r>
    </w:p>
    <w:p>
      <w:pPr>
        <w:pStyle w:val="Heading1"/>
        <w:keepNext/>
        <w:spacing w:after="160" w:before="360"/>
      </w:pPr>
      <w:r>
        <w:rPr>
          <w:rFonts w:ascii="Arial" w:cs="Arial" w:eastAsia="Arial" w:hAnsi="Arial"/>
          <w:b/>
          <w:bCs/>
          <w:color w:val="2E6071"/>
          <w:sz w:val="30"/>
          <w:szCs w:val="30"/>
        </w:rPr>
        <w:t xml:space="preserve">6. Schémas de sortie minimum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2E6071" w:sz="6"/>
              <w:left w:val="single" w:color="2E6071" w:sz="24"/>
              <w:bottom w:val="single" w:color="2E6071" w:sz="6"/>
              <w:right w:val="single" w:color="2E6071" w:sz="6"/>
            </w:tcBorders>
            <w:shd w:fill="EEF2F3" w:color="auto" w:val="clear"/>
            <w:tcMar>
              <w:top w:type="dxa" w:w="120"/>
              <w:left w:type="dxa" w:w="180"/>
              <w:bottom w:type="dxa" w:w="120"/>
              <w:right w:type="dxa" w:w="180"/>
            </w:tcMar>
          </w:tcPr>
          <w:p>
            <w:pPr>
              <w:spacing w:after="60"/>
            </w:pPr>
            <w:r>
              <w:rPr>
                <w:rFonts w:ascii="Arial" w:cs="Arial" w:eastAsia="Arial" w:hAnsi="Arial"/>
                <w:b/>
                <w:bCs/>
                <w:color w:val="2E6071"/>
                <w:sz w:val="20"/>
                <w:szCs w:val="20"/>
              </w:rPr>
              <w:t xml:space="preserve">Agent 1 — JSON minimal</w:t>
            </w:r>
          </w:p>
          <w:p>
            <w:pPr>
              <w:spacing w:after="60" w:line="264"/>
              <w:jc w:val="both"/>
            </w:pPr>
            <w:r>
              <w:rPr>
                <w:rFonts w:ascii="Arial" w:cs="Arial" w:eastAsia="Arial" w:hAnsi="Arial"/>
                <w:color w:val="171A1C"/>
                <w:sz w:val="19"/>
                <w:szCs w:val="19"/>
              </w:rPr>
              <w:t xml:space="preserve">opportunity_id • criteria[] (ref, libellé, poids) • requirements[] (clause_id, résumé, niveau) • requested_evidence[] • gfi_strengths[] (capacité, preuve) • gaps[] (clause, capacité, écart) • missing_information[] • inconsistencies[] • questions_to_ask[] • risk_flags[] • sources[] • human_review = true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2E6071" w:sz="6"/>
              <w:left w:val="single" w:color="2E6071" w:sz="24"/>
              <w:bottom w:val="single" w:color="2E6071" w:sz="6"/>
              <w:right w:val="single" w:color="2E6071" w:sz="6"/>
            </w:tcBorders>
            <w:shd w:fill="EEF2F3" w:color="auto" w:val="clear"/>
            <w:tcMar>
              <w:top w:type="dxa" w:w="120"/>
              <w:left w:type="dxa" w:w="180"/>
              <w:bottom w:type="dxa" w:w="120"/>
              <w:right w:type="dxa" w:w="180"/>
            </w:tcMar>
          </w:tcPr>
          <w:p>
            <w:pPr>
              <w:spacing w:after="60"/>
            </w:pPr>
            <w:r>
              <w:rPr>
                <w:rFonts w:ascii="Arial" w:cs="Arial" w:eastAsia="Arial" w:hAnsi="Arial"/>
                <w:b/>
                <w:bCs/>
                <w:color w:val="2E6071"/>
                <w:sz w:val="20"/>
                <w:szCs w:val="20"/>
              </w:rPr>
              <w:t xml:space="preserve">Agent 2 — JSON minimal</w:t>
            </w:r>
          </w:p>
          <w:p>
            <w:pPr>
              <w:spacing w:after="60" w:line="264"/>
              <w:jc w:val="both"/>
            </w:pPr>
            <w:r>
              <w:rPr>
                <w:rFonts w:ascii="Arial" w:cs="Arial" w:eastAsia="Arial" w:hAnsi="Arial"/>
                <w:color w:val="171A1C"/>
                <w:sz w:val="19"/>
                <w:szCs w:val="19"/>
              </w:rPr>
              <w:t xml:space="preserve">message_id • category (code de la taxonomie) • sensitivity [low|medium|critical] • marketing_theme • summary • human_review • injection_detected • language • draft_reply • confidence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2E6071" w:sz="6"/>
              <w:left w:val="single" w:color="2E6071" w:sz="24"/>
              <w:bottom w:val="single" w:color="2E6071" w:sz="6"/>
              <w:right w:val="single" w:color="2E6071" w:sz="6"/>
            </w:tcBorders>
            <w:shd w:fill="EEF2F3" w:color="auto" w:val="clear"/>
            <w:tcMar>
              <w:top w:type="dxa" w:w="120"/>
              <w:left w:type="dxa" w:w="180"/>
              <w:bottom w:type="dxa" w:w="120"/>
              <w:right w:type="dxa" w:w="180"/>
            </w:tcMar>
          </w:tcPr>
          <w:p>
            <w:pPr>
              <w:spacing w:after="60"/>
            </w:pPr>
            <w:r>
              <w:rPr>
                <w:rFonts w:ascii="Arial" w:cs="Arial" w:eastAsia="Arial" w:hAnsi="Arial"/>
                <w:b/>
                <w:bCs/>
                <w:color w:val="2E6071"/>
                <w:sz w:val="20"/>
                <w:szCs w:val="20"/>
              </w:rPr>
              <w:t xml:space="preserve">Agent 3 — JSON minimal</w:t>
            </w:r>
          </w:p>
          <w:p>
            <w:pPr>
              <w:spacing w:after="60" w:line="264"/>
              <w:jc w:val="both"/>
            </w:pPr>
            <w:r>
              <w:rPr>
                <w:rFonts w:ascii="Arial" w:cs="Arial" w:eastAsia="Arial" w:hAnsi="Arial"/>
                <w:color w:val="171A1C"/>
                <w:sz w:val="19"/>
                <w:szCs w:val="19"/>
              </w:rPr>
              <w:t xml:space="preserve">scope (sites, période, plats) • data_quality_issues[] (ligne, anomalie, traitement) • observations[] (mesure, unité, comparaison) • problematic_items[] • positive_items[] • hypotheses[] (formulées comme des hypothèses) • proposed_tests[] (variable, période, mesure, critère d'arrêt) • limits[] • human_review = true</w:t>
            </w:r>
          </w:p>
        </w:tc>
      </w:tr>
    </w:tbl>
    <w:p>
      <w:pPr>
        <w:pStyle w:val="Heading1"/>
        <w:keepNext/>
        <w:spacing w:after="160" w:before="360"/>
      </w:pPr>
      <w:r>
        <w:rPr>
          <w:rFonts w:ascii="Arial" w:cs="Arial" w:eastAsia="Arial" w:hAnsi="Arial"/>
          <w:b/>
          <w:bCs/>
          <w:color w:val="2E6071"/>
          <w:sz w:val="30"/>
          <w:szCs w:val="30"/>
        </w:rPr>
        <w:t xml:space="preserve">7. Méthode de travail attendue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3855"/>
        <w:gridCol w:w="3662"/>
      </w:tblGrid>
      <w:tr>
        <w:trPr>
          <w:tblHeader/>
        </w:trPr>
        <w:tc>
          <w:tcPr>
            <w:tcW w:type="dxa" w:w="2120"/>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Étape</w:t>
            </w:r>
          </w:p>
        </w:tc>
        <w:tc>
          <w:tcPr>
            <w:tcW w:type="dxa" w:w="3855"/>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Question à résoudre</w:t>
            </w:r>
          </w:p>
        </w:tc>
        <w:tc>
          <w:tcPr>
            <w:tcW w:type="dxa" w:w="3662"/>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Trace attendue</w:t>
            </w:r>
          </w:p>
        </w:tc>
      </w:tr>
      <w:tr>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Cadrer</w:t>
            </w:r>
          </w:p>
        </w:tc>
        <w:tc>
          <w:tcPr>
            <w:tcW w:type="dxa" w:w="385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Quelle décision humaine l'agent assiste-t-il ?</w:t>
            </w:r>
          </w:p>
        </w:tc>
        <w:tc>
          <w:tcPr>
            <w:tcW w:type="dxa" w:w="366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Agent Charter : fait / ne fait pas / risques / critères de réussite</w:t>
            </w:r>
          </w:p>
        </w:tc>
      </w:tr>
      <w:tr>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Comprendre les données</w:t>
            </w:r>
          </w:p>
        </w:tc>
        <w:tc>
          <w:tcPr>
            <w:tcW w:type="dxa" w:w="385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Que contiennent les onglets, quelles jointures, quelles anomalies ?</w:t>
            </w:r>
          </w:p>
        </w:tc>
        <w:tc>
          <w:tcPr>
            <w:tcW w:type="dxa" w:w="366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Schéma des données utilisées + liste des anomalies détectées</w:t>
            </w:r>
          </w:p>
        </w:tc>
      </w:tr>
      <w:tr>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Concevoir</w:t>
            </w:r>
          </w:p>
        </w:tc>
        <w:tc>
          <w:tcPr>
            <w:tcW w:type="dxa" w:w="385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Quelles entrées et quelles sorties stables ?</w:t>
            </w:r>
          </w:p>
        </w:tc>
        <w:tc>
          <w:tcPr>
            <w:tcW w:type="dxa" w:w="366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Prompt système + schéma de sortie</w:t>
            </w:r>
          </w:p>
        </w:tc>
      </w:tr>
      <w:tr>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Orchestrer</w:t>
            </w:r>
          </w:p>
        </w:tc>
        <w:tc>
          <w:tcPr>
            <w:tcW w:type="dxa" w:w="385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Que fait n8n avant et après le LLM ?</w:t>
            </w:r>
          </w:p>
        </w:tc>
        <w:tc>
          <w:tcPr>
            <w:tcW w:type="dxa" w:w="366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Workflow lisible avec normalisation, branches, validation et logs</w:t>
            </w:r>
          </w:p>
        </w:tc>
      </w:tr>
      <w:tr>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Tester</w:t>
            </w:r>
          </w:p>
        </w:tc>
        <w:tc>
          <w:tcPr>
            <w:tcW w:type="dxa" w:w="385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Comment le système échoue-t-il ?</w:t>
            </w:r>
          </w:p>
        </w:tc>
        <w:tc>
          <w:tcPr>
            <w:tcW w:type="dxa" w:w="366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6 tests minimum par agent, dont cas limites, données sales et injection</w:t>
            </w:r>
          </w:p>
        </w:tc>
      </w:tr>
      <w:tr>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Corriger</w:t>
            </w:r>
          </w:p>
        </w:tc>
        <w:tc>
          <w:tcPr>
            <w:tcW w:type="dxa" w:w="385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Quelle modification réduit réellement le risque ?</w:t>
            </w:r>
          </w:p>
        </w:tc>
        <w:tc>
          <w:tcPr>
            <w:tcW w:type="dxa" w:w="366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Avant/après documenté</w:t>
            </w:r>
          </w:p>
        </w:tc>
      </w:tr>
      <w:tr>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Démontrer</w:t>
            </w:r>
          </w:p>
        </w:tc>
        <w:tc>
          <w:tcPr>
            <w:tcW w:type="dxa" w:w="385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Quelle valeur marketing est créée ?</w:t>
            </w:r>
          </w:p>
        </w:tc>
        <w:tc>
          <w:tcPr>
            <w:tcW w:type="dxa" w:w="366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Démo chronométrée et preuves</w:t>
            </w:r>
          </w:p>
        </w:tc>
      </w:tr>
    </w:tbl>
    <w:p>
      <w:pPr>
        <w:pStyle w:val="Heading1"/>
        <w:keepNext/>
        <w:spacing w:after="160" w:before="360"/>
      </w:pPr>
      <w:r>
        <w:rPr>
          <w:rFonts w:ascii="Arial" w:cs="Arial" w:eastAsia="Arial" w:hAnsi="Arial"/>
          <w:b/>
          <w:bCs/>
          <w:color w:val="2E6071"/>
          <w:sz w:val="30"/>
          <w:szCs w:val="30"/>
        </w:rPr>
        <w:t xml:space="preserve">8. Livrables</w:t>
      </w:r>
    </w:p>
    <w:p>
      <w:pPr>
        <w:pStyle w:val="ListParagraph"/>
        <w:numPr>
          <w:ilvl w:val="0"/>
          <w:numId w:val="2"/>
        </w:numPr>
        <w:spacing w:after="60" w:line="264"/>
        <w:jc w:val="both"/>
      </w:pPr>
      <w:r>
        <w:rPr>
          <w:rFonts w:ascii="Arial" w:cs="Arial" w:eastAsia="Arial" w:hAnsi="Arial"/>
          <w:color w:val="171A1C"/>
          <w:sz w:val="21"/>
          <w:szCs w:val="21"/>
        </w:rPr>
        <w:t xml:space="preserve">Un schéma global du système (une page) incluant les sources de données utilisées.</w:t>
      </w:r>
    </w:p>
    <w:p>
      <w:pPr>
        <w:pStyle w:val="ListParagraph"/>
        <w:numPr>
          <w:ilvl w:val="0"/>
          <w:numId w:val="2"/>
        </w:numPr>
        <w:spacing w:after="60" w:line="264"/>
        <w:jc w:val="both"/>
      </w:pPr>
      <w:r>
        <w:rPr>
          <w:rFonts w:ascii="Arial" w:cs="Arial" w:eastAsia="Arial" w:hAnsi="Arial"/>
          <w:color w:val="171A1C"/>
          <w:sz w:val="21"/>
          <w:szCs w:val="21"/>
        </w:rPr>
        <w:t xml:space="preserve">Les trois workflows n8n fonctionnels, ou un orchestrateur et trois sous-workflows.</w:t>
      </w:r>
    </w:p>
    <w:p>
      <w:pPr>
        <w:pStyle w:val="ListParagraph"/>
        <w:numPr>
          <w:ilvl w:val="0"/>
          <w:numId w:val="2"/>
        </w:numPr>
        <w:spacing w:after="60" w:line="264"/>
        <w:jc w:val="both"/>
      </w:pPr>
      <w:r>
        <w:rPr>
          <w:rFonts w:ascii="Arial" w:cs="Arial" w:eastAsia="Arial" w:hAnsi="Arial"/>
          <w:color w:val="171A1C"/>
          <w:sz w:val="21"/>
          <w:szCs w:val="21"/>
        </w:rPr>
        <w:t xml:space="preserve">Les exports JSON des workflows + un README de reproduction.</w:t>
      </w:r>
    </w:p>
    <w:p>
      <w:pPr>
        <w:pStyle w:val="ListParagraph"/>
        <w:numPr>
          <w:ilvl w:val="0"/>
          <w:numId w:val="2"/>
        </w:numPr>
        <w:spacing w:after="60" w:line="264"/>
        <w:jc w:val="both"/>
      </w:pPr>
      <w:r>
        <w:rPr>
          <w:rFonts w:ascii="Arial" w:cs="Arial" w:eastAsia="Arial" w:hAnsi="Arial"/>
          <w:color w:val="171A1C"/>
          <w:sz w:val="21"/>
          <w:szCs w:val="21"/>
        </w:rPr>
        <w:t xml:space="preserve">Les prompts système finaux et les schémas de sortie.</w:t>
      </w:r>
    </w:p>
    <w:p>
      <w:pPr>
        <w:pStyle w:val="ListParagraph"/>
        <w:numPr>
          <w:ilvl w:val="0"/>
          <w:numId w:val="2"/>
        </w:numPr>
        <w:spacing w:after="60" w:line="264"/>
        <w:jc w:val="both"/>
      </w:pPr>
      <w:r>
        <w:rPr>
          <w:rFonts w:ascii="Arial" w:cs="Arial" w:eastAsia="Arial" w:hAnsi="Arial"/>
          <w:color w:val="171A1C"/>
          <w:sz w:val="21"/>
          <w:szCs w:val="21"/>
        </w:rPr>
        <w:t xml:space="preserve">Un tableau de 18 tests minimum : attendu, observé, statut, correction, retest (onglet Tests_etudiants).</w:t>
      </w:r>
    </w:p>
    <w:p>
      <w:pPr>
        <w:pStyle w:val="ListParagraph"/>
        <w:numPr>
          <w:ilvl w:val="0"/>
          <w:numId w:val="2"/>
        </w:numPr>
        <w:spacing w:after="60" w:line="264"/>
        <w:jc w:val="both"/>
      </w:pPr>
      <w:r>
        <w:rPr>
          <w:rFonts w:ascii="Arial" w:cs="Arial" w:eastAsia="Arial" w:hAnsi="Arial"/>
          <w:color w:val="171A1C"/>
          <w:sz w:val="21"/>
          <w:szCs w:val="21"/>
        </w:rPr>
        <w:t xml:space="preserve">Une charte d'usage : limites, données, escalades, validation humaine.</w:t>
      </w:r>
    </w:p>
    <w:p>
      <w:pPr>
        <w:pStyle w:val="ListParagraph"/>
        <w:numPr>
          <w:ilvl w:val="0"/>
          <w:numId w:val="2"/>
        </w:numPr>
        <w:spacing w:after="60" w:line="264"/>
        <w:jc w:val="both"/>
      </w:pPr>
      <w:r>
        <w:rPr>
          <w:rFonts w:ascii="Arial" w:cs="Arial" w:eastAsia="Arial" w:hAnsi="Arial"/>
          <w:color w:val="171A1C"/>
          <w:sz w:val="21"/>
          <w:szCs w:val="21"/>
        </w:rPr>
        <w:t xml:space="preserve">Une démonstration orale d'environ 10 minutes le 16 décembre 2026.</w:t>
      </w:r>
    </w:p>
    <w:p>
      <w:pPr>
        <w:pStyle w:val="Heading1"/>
        <w:keepNext/>
        <w:spacing w:after="160" w:before="360"/>
      </w:pPr>
      <w:r>
        <w:rPr>
          <w:rFonts w:ascii="Arial" w:cs="Arial" w:eastAsia="Arial" w:hAnsi="Arial"/>
          <w:b/>
          <w:bCs/>
          <w:color w:val="2E6071"/>
          <w:sz w:val="30"/>
          <w:szCs w:val="30"/>
        </w:rPr>
        <w:t xml:space="preserve">9. Évaluation /20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964"/>
        <w:gridCol w:w="5783"/>
      </w:tblGrid>
      <w:tr>
        <w:trPr>
          <w:tblHeader/>
        </w:trPr>
        <w:tc>
          <w:tcPr>
            <w:tcW w:type="dxa" w:w="2891"/>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Critère</w:t>
            </w:r>
          </w:p>
        </w:tc>
        <w:tc>
          <w:tcPr>
            <w:tcW w:type="dxa" w:w="964"/>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Points</w:t>
            </w:r>
          </w:p>
        </w:tc>
        <w:tc>
          <w:tcPr>
            <w:tcW w:type="dxa" w:w="5783"/>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Ce qui est attendu</w:t>
            </w:r>
          </w:p>
        </w:tc>
      </w:tr>
      <w:tr>
        <w:tc>
          <w:tcPr>
            <w:tcW w:type="dxa" w:w="28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Diagnostic marketing &amp; BtoA</w:t>
            </w:r>
          </w:p>
        </w:tc>
        <w:tc>
          <w:tcPr>
            <w:tcW w:type="dxa" w:w="96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4</w:t>
            </w:r>
          </w:p>
        </w:tc>
        <w:tc>
          <w:tcPr>
            <w:tcW w:type="dxa" w:w="578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Parties prenantes, proposition de valeur, lecture de l'opportunité, logique d'insight</w:t>
            </w:r>
          </w:p>
        </w:tc>
      </w:tr>
      <w:tr>
        <w:tc>
          <w:tcPr>
            <w:tcW w:type="dxa" w:w="289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Architecture n8n &amp; intégration</w:t>
            </w:r>
          </w:p>
        </w:tc>
        <w:tc>
          <w:tcPr>
            <w:tcW w:type="dxa" w:w="96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4</w:t>
            </w:r>
          </w:p>
        </w:tc>
        <w:tc>
          <w:tcPr>
            <w:tcW w:type="dxa" w:w="578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Workflow fiable, lisible, routage, logs, sauvegarde</w:t>
            </w:r>
          </w:p>
        </w:tc>
      </w:tr>
      <w:tr>
        <w:tc>
          <w:tcPr>
            <w:tcW w:type="dxa" w:w="28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Prompts, données &amp; sorties</w:t>
            </w:r>
          </w:p>
        </w:tc>
        <w:tc>
          <w:tcPr>
            <w:tcW w:type="dxa" w:w="96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4</w:t>
            </w:r>
          </w:p>
        </w:tc>
        <w:tc>
          <w:tcPr>
            <w:tcW w:type="dxa" w:w="578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Règles claires, sorties structurées, traitement des anomalies, qualité des transformations</w:t>
            </w:r>
          </w:p>
        </w:tc>
      </w:tr>
      <w:tr>
        <w:tc>
          <w:tcPr>
            <w:tcW w:type="dxa" w:w="289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Tests &amp; garde-fous</w:t>
            </w:r>
          </w:p>
        </w:tc>
        <w:tc>
          <w:tcPr>
            <w:tcW w:type="dxa" w:w="96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4</w:t>
            </w:r>
          </w:p>
        </w:tc>
        <w:tc>
          <w:tcPr>
            <w:tcW w:type="dxa" w:w="578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Cas limites, escalade, corrections, maîtrise des risques</w:t>
            </w:r>
          </w:p>
        </w:tc>
      </w:tr>
      <w:tr>
        <w:tc>
          <w:tcPr>
            <w:tcW w:type="dxa" w:w="28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bCs/>
                <w:color w:val="171A1C"/>
                <w:sz w:val="18"/>
                <w:szCs w:val="18"/>
              </w:rPr>
              <w:t xml:space="preserve">Démonstration &amp; maîtrise</w:t>
            </w:r>
          </w:p>
        </w:tc>
        <w:tc>
          <w:tcPr>
            <w:tcW w:type="dxa" w:w="96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4</w:t>
            </w:r>
          </w:p>
        </w:tc>
        <w:tc>
          <w:tcPr>
            <w:tcW w:type="dxa" w:w="578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b w:val="false"/>
                <w:bCs w:val="false"/>
                <w:color w:val="171A1C"/>
                <w:sz w:val="18"/>
                <w:szCs w:val="18"/>
              </w:rPr>
              <w:t xml:space="preserve">Preuve en direct, clarté, recul critique, capacité à expliquer le système</w:t>
            </w:r>
          </w:p>
        </w:tc>
      </w:tr>
    </w:tbl>
    <w:p>
      <w:pPr>
        <w:pStyle w:val="Heading1"/>
        <w:keepNext/>
        <w:spacing w:after="160" w:before="360"/>
      </w:pPr>
      <w:r>
        <w:rPr>
          <w:rFonts w:ascii="Arial" w:cs="Arial" w:eastAsia="Arial" w:hAnsi="Arial"/>
          <w:b/>
          <w:bCs/>
          <w:color w:val="2E6071"/>
          <w:sz w:val="30"/>
          <w:szCs w:val="30"/>
        </w:rPr>
        <w:t xml:space="preserve">10. Bonus possibles — sans obligation</w:t>
      </w:r>
    </w:p>
    <w:p>
      <w:pPr>
        <w:pStyle w:val="ListParagraph"/>
        <w:numPr>
          <w:ilvl w:val="0"/>
          <w:numId w:val="2"/>
        </w:numPr>
        <w:spacing w:after="60" w:line="264"/>
        <w:jc w:val="both"/>
      </w:pPr>
      <w:r>
        <w:rPr>
          <w:rFonts w:ascii="Arial" w:cs="Arial" w:eastAsia="Arial" w:hAnsi="Arial"/>
          <w:color w:val="171A1C"/>
          <w:sz w:val="21"/>
          <w:szCs w:val="21"/>
        </w:rPr>
        <w:t xml:space="preserve">Sous-workflow réutilisable de validation JSON ou de nettoyage des données (unités, doublons, identifiants).</w:t>
      </w:r>
    </w:p>
    <w:p>
      <w:pPr>
        <w:pStyle w:val="ListParagraph"/>
        <w:numPr>
          <w:ilvl w:val="0"/>
          <w:numId w:val="2"/>
        </w:numPr>
        <w:spacing w:after="60" w:line="264"/>
        <w:jc w:val="both"/>
      </w:pPr>
      <w:r>
        <w:rPr>
          <w:rFonts w:ascii="Arial" w:cs="Arial" w:eastAsia="Arial" w:hAnsi="Arial"/>
          <w:color w:val="171A1C"/>
          <w:sz w:val="21"/>
          <w:szCs w:val="21"/>
        </w:rPr>
        <w:t xml:space="preserve">Dashboard simple de suivi des thèmes de messages et des restes par convive (par site, par plat, par segment).</w:t>
      </w:r>
    </w:p>
    <w:p>
      <w:pPr>
        <w:pStyle w:val="ListParagraph"/>
        <w:numPr>
          <w:ilvl w:val="0"/>
          <w:numId w:val="2"/>
        </w:numPr>
        <w:spacing w:after="60" w:line="264"/>
        <w:jc w:val="both"/>
      </w:pPr>
      <w:r>
        <w:rPr>
          <w:rFonts w:ascii="Arial" w:cs="Arial" w:eastAsia="Arial" w:hAnsi="Arial"/>
          <w:color w:val="171A1C"/>
          <w:sz w:val="21"/>
          <w:szCs w:val="21"/>
        </w:rPr>
        <w:t xml:space="preserve">Système de revue humaine avec statut « OK / corrigé / rejeté ».</w:t>
      </w:r>
    </w:p>
    <w:p>
      <w:pPr>
        <w:pStyle w:val="ListParagraph"/>
        <w:numPr>
          <w:ilvl w:val="0"/>
          <w:numId w:val="2"/>
        </w:numPr>
        <w:spacing w:after="60" w:line="264"/>
        <w:jc w:val="both"/>
      </w:pPr>
      <w:r>
        <w:rPr>
          <w:rFonts w:ascii="Arial" w:cs="Arial" w:eastAsia="Arial" w:hAnsi="Arial"/>
          <w:color w:val="171A1C"/>
          <w:sz w:val="21"/>
          <w:szCs w:val="21"/>
        </w:rPr>
        <w:t xml:space="preserve">Comparaison de deux prompts ou de deux modèles sur le même jeu de tests.</w:t>
      </w:r>
    </w:p>
    <w:p>
      <w:pPr>
        <w:pStyle w:val="ListParagraph"/>
        <w:numPr>
          <w:ilvl w:val="0"/>
          <w:numId w:val="2"/>
        </w:numPr>
        <w:spacing w:after="60" w:line="264"/>
        <w:jc w:val="both"/>
      </w:pPr>
      <w:r>
        <w:rPr>
          <w:rFonts w:ascii="Arial" w:cs="Arial" w:eastAsia="Arial" w:hAnsi="Arial"/>
          <w:color w:val="171A1C"/>
          <w:sz w:val="21"/>
          <w:szCs w:val="21"/>
        </w:rPr>
        <w:t xml:space="preserve">Métriques : taux de classification correcte, taux d'escalade, format valide, coût ou durée d'exécution.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D7175"/>
        <w:sz w:val="16"/>
        <w:szCs w:val="16"/>
      </w:rPr>
      <w:t xml:space="preserve">M1 MIRC • Marketing alimentaire • ISTHIA — page </w:t>
    </w:r>
    <w:r>
      <w:rPr>
        <w:rFonts w:ascii="Arial" w:cs="Arial" w:eastAsia="Arial" w:hAnsi="Arial"/>
        <w:color w:val="6D71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BDE" w:sz="4" w:space="4"/>
      </w:pBdr>
      <w:jc w:val="right"/>
    </w:pPr>
    <w:r>
      <w:rPr>
        <w:rFonts w:ascii="Arial" w:cs="Arial" w:eastAsia="Arial" w:hAnsi="Arial"/>
        <w:color w:val="6D7175"/>
        <w:sz w:val="16"/>
        <w:szCs w:val="16"/>
      </w:rPr>
      <w:t xml:space="preserve">Cas GFI — Cap Marché 2027 — énoncé étudiant (v2)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40"/>
      </w:pPr>
    </w:lvl>
    <w:lvl w:ilvl="1" w15:tentative="1">
      <w:start w:val="1"/>
      <w:numFmt w:val="bullet"/>
      <w:lvlText w:val="–"/>
      <w:lvlJc w:val="left"/>
      <w:pPr>
        <w:ind w:left="800" w:hanging="24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A1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 GFI — énoncé étudiant</dc:title>
  <dc:creator>ISTHIA — Denis Bories</dc:creator>
  <cp:lastModifiedBy>Un-named</cp:lastModifiedBy>
  <cp:revision>1</cp:revision>
  <dcterms:created xsi:type="dcterms:W3CDTF">2026-09-23T07:21:53.276Z</dcterms:created>
  <dcterms:modified xsi:type="dcterms:W3CDTF">2026-09-23T07:21:53.276Z</dcterms:modified>
</cp:coreProperties>
</file>

<file path=docProps/custom.xml><?xml version="1.0" encoding="utf-8"?>
<Properties xmlns="http://schemas.openxmlformats.org/officeDocument/2006/custom-properties" xmlns:vt="http://schemas.openxmlformats.org/officeDocument/2006/docPropsVTypes"/>
</file>